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9ADB" w14:textId="1AB0FF75" w:rsidR="00B03A9F" w:rsidRPr="00097DB8" w:rsidRDefault="00FB08C2" w:rsidP="00097DB8">
      <w:pPr>
        <w:pStyle w:val="Title"/>
      </w:pPr>
      <w:r>
        <w:t>New York State Fiscal Year 202</w:t>
      </w:r>
      <w:r w:rsidR="0068194C">
        <w:t>7</w:t>
      </w:r>
      <w:r>
        <w:t xml:space="preserve"> </w:t>
      </w:r>
      <w:r w:rsidR="00184966">
        <w:t>Enacted</w:t>
      </w:r>
      <w:r>
        <w:t xml:space="preserve"> Budget Summary</w:t>
      </w:r>
    </w:p>
    <w:p w14:paraId="41CFFE4A" w14:textId="77777777" w:rsidR="00BA04BC" w:rsidRPr="00650829" w:rsidRDefault="00BA04BC" w:rsidP="00E10AB5">
      <w:pPr>
        <w:pStyle w:val="Heading1Non-TOC"/>
      </w:pPr>
      <w:bookmarkStart w:id="0" w:name="_Toc188443879"/>
      <w:r>
        <w:t>O</w:t>
      </w:r>
      <w:r w:rsidRPr="00650829">
        <w:t>verview</w:t>
      </w:r>
      <w:bookmarkEnd w:id="0"/>
    </w:p>
    <w:p w14:paraId="19D5F9B1" w14:textId="769AA47B" w:rsidR="00F06ACC" w:rsidRDefault="00A911DC" w:rsidP="00F06ACC">
      <w:pPr>
        <w:spacing w:line="247" w:lineRule="auto"/>
      </w:pPr>
      <w:r>
        <w:t xml:space="preserve">This week, </w:t>
      </w:r>
      <w:r w:rsidR="007358DD" w:rsidRPr="00B61846">
        <w:t>Governor Hochul and the</w:t>
      </w:r>
      <w:r w:rsidR="00F06ACC" w:rsidRPr="00B61846">
        <w:t xml:space="preserve"> New York State Legislature </w:t>
      </w:r>
      <w:r w:rsidR="00852DD5" w:rsidRPr="00B61846">
        <w:t>reached a</w:t>
      </w:r>
      <w:r w:rsidR="00D0308F">
        <w:t xml:space="preserve"> final</w:t>
      </w:r>
      <w:r w:rsidR="00852DD5" w:rsidRPr="00B61846">
        <w:t xml:space="preserve"> agreement on</w:t>
      </w:r>
      <w:r w:rsidR="00F06ACC" w:rsidRPr="00B61846">
        <w:t xml:space="preserve"> the</w:t>
      </w:r>
      <w:r w:rsidR="004D6557">
        <w:t xml:space="preserve"> State Fiscal Year (FY)</w:t>
      </w:r>
      <w:r w:rsidR="00F06ACC" w:rsidRPr="00B61846">
        <w:t xml:space="preserve"> Enacted Budget, which runs from April 1, 2026 to March 31, 2027. </w:t>
      </w:r>
      <w:r w:rsidR="004E50BC">
        <w:t>The agreement came nearly two months into the fiscal year</w:t>
      </w:r>
      <w:r w:rsidR="00AF4B15">
        <w:t>, making</w:t>
      </w:r>
      <w:r w:rsidR="00963002">
        <w:t xml:space="preserve"> the Budget among the latest in recent New York State history.</w:t>
      </w:r>
      <w:r w:rsidR="004E50BC">
        <w:t xml:space="preserve"> </w:t>
      </w:r>
      <w:r w:rsidR="00B416EF" w:rsidRPr="00B61846">
        <w:t xml:space="preserve">While the </w:t>
      </w:r>
      <w:r w:rsidR="00963002">
        <w:t xml:space="preserve">final </w:t>
      </w:r>
      <w:r w:rsidR="00B416EF" w:rsidRPr="00B61846">
        <w:t xml:space="preserve">financial plan has not yet been </w:t>
      </w:r>
      <w:r w:rsidR="00963002">
        <w:t>released</w:t>
      </w:r>
      <w:r w:rsidR="00B416EF" w:rsidRPr="00B61846">
        <w:t>, the Governor</w:t>
      </w:r>
      <w:r w:rsidR="00B416EF">
        <w:t xml:space="preserve"> previously stated that the total FY 2027 </w:t>
      </w:r>
      <w:r w:rsidR="00880EFE">
        <w:t xml:space="preserve">Budget spending </w:t>
      </w:r>
      <w:r w:rsidR="00250BBF">
        <w:t>is estimated at</w:t>
      </w:r>
      <w:r w:rsidR="006932E0">
        <w:t xml:space="preserve"> </w:t>
      </w:r>
      <w:r w:rsidR="00250BBF">
        <w:t xml:space="preserve">$268 billion. </w:t>
      </w:r>
    </w:p>
    <w:p w14:paraId="7BE045BC" w14:textId="73B1A8EC" w:rsidR="00FF6120" w:rsidRDefault="00B04588" w:rsidP="00F06ACC">
      <w:pPr>
        <w:spacing w:line="247" w:lineRule="auto"/>
      </w:pPr>
      <w:r>
        <w:t xml:space="preserve">Some of the most notable health care items in the </w:t>
      </w:r>
      <w:r w:rsidR="006932E0">
        <w:t xml:space="preserve">Enacted </w:t>
      </w:r>
      <w:r>
        <w:t xml:space="preserve">Budget include: </w:t>
      </w:r>
    </w:p>
    <w:p w14:paraId="7F356A79" w14:textId="70379A5C" w:rsidR="00E86288" w:rsidRDefault="00E86288" w:rsidP="00E86288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 w:rsidRPr="00E86288">
        <w:t>Aggregate Medicaid reimbursement increases for hospitals ($</w:t>
      </w:r>
      <w:r w:rsidR="00AD023E">
        <w:t>706</w:t>
      </w:r>
      <w:r w:rsidRPr="00E86288">
        <w:t xml:space="preserve"> million), nursing homes ($</w:t>
      </w:r>
      <w:r w:rsidR="00AD023E">
        <w:t>480</w:t>
      </w:r>
      <w:r w:rsidRPr="00E86288">
        <w:t xml:space="preserve"> million), Assisted Living Programs ($</w:t>
      </w:r>
      <w:r w:rsidR="00AD023E">
        <w:t>20</w:t>
      </w:r>
      <w:r w:rsidRPr="00E86288">
        <w:t xml:space="preserve"> million)</w:t>
      </w:r>
      <w:r>
        <w:t>, and Federally Qualified Health Centers ($</w:t>
      </w:r>
      <w:r w:rsidR="00FE388E">
        <w:t>8</w:t>
      </w:r>
      <w:r>
        <w:t>0 million)</w:t>
      </w:r>
      <w:r w:rsidR="00F41123">
        <w:t xml:space="preserve">. </w:t>
      </w:r>
    </w:p>
    <w:p w14:paraId="7B1E511F" w14:textId="6C8FED21" w:rsidR="00F41123" w:rsidRDefault="00F41123" w:rsidP="00E86288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 xml:space="preserve">Partial restorations of nursing home and hospital capital rates. </w:t>
      </w:r>
    </w:p>
    <w:p w14:paraId="24502143" w14:textId="3FDB3D65" w:rsidR="00E86288" w:rsidRDefault="00E86288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 w:rsidRPr="00E86288">
        <w:t xml:space="preserve">A </w:t>
      </w:r>
      <w:r w:rsidR="00F8243A">
        <w:t>targeted inflationary increase</w:t>
      </w:r>
      <w:r w:rsidRPr="00E86288">
        <w:t> for human services agencies of 2.</w:t>
      </w:r>
      <w:r w:rsidR="00F8243A">
        <w:t>7</w:t>
      </w:r>
      <w:r w:rsidRPr="00E86288">
        <w:t>% (up from the Executive’s proposed 1.</w:t>
      </w:r>
      <w:r w:rsidR="00F8243A">
        <w:t>7</w:t>
      </w:r>
      <w:r w:rsidR="00B73742">
        <w:t>%).</w:t>
      </w:r>
    </w:p>
    <w:p w14:paraId="334F6386" w14:textId="64CC5EFD" w:rsidR="00D1623C" w:rsidRDefault="00FE520C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>A r</w:t>
      </w:r>
      <w:r w:rsidR="00B95FE7">
        <w:t>estructuring of</w:t>
      </w:r>
      <w:r w:rsidR="00D1623C">
        <w:t xml:space="preserve"> the MCO tax f</w:t>
      </w:r>
      <w:r w:rsidR="00B95FE7">
        <w:t xml:space="preserve">rom the current tiered per-member month assessment to </w:t>
      </w:r>
      <w:r w:rsidR="00C347F0">
        <w:t xml:space="preserve">a flat </w:t>
      </w:r>
      <w:r w:rsidR="00B95FE7">
        <w:t xml:space="preserve">0.35% of each health plan’s total premium revenue. </w:t>
      </w:r>
    </w:p>
    <w:p w14:paraId="25E05EC4" w14:textId="0F650600" w:rsidR="00EB608F" w:rsidRDefault="00FE520C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>A p</w:t>
      </w:r>
      <w:r w:rsidR="00EB608F">
        <w:t>ermanent Medicaid managed care carveout for school-based health centers.</w:t>
      </w:r>
    </w:p>
    <w:p w14:paraId="7BB331F6" w14:textId="31A3EBAB" w:rsidR="003138B5" w:rsidRDefault="003138B5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>Reforms prior authorization and utilization review processes.</w:t>
      </w:r>
    </w:p>
    <w:p w14:paraId="705DE88B" w14:textId="26AD30F5" w:rsidR="003B2EA3" w:rsidRDefault="00F57FF0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>Changes</w:t>
      </w:r>
      <w:r w:rsidR="003B2EA3">
        <w:t xml:space="preserve"> to the independent dispute resolution (IDR) process</w:t>
      </w:r>
      <w:r w:rsidR="008A3535">
        <w:t>.</w:t>
      </w:r>
    </w:p>
    <w:p w14:paraId="4BA6759A" w14:textId="4B81A2C3" w:rsidR="009E1609" w:rsidRDefault="009E1609" w:rsidP="00CC7D8D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 xml:space="preserve">$1 billion in new </w:t>
      </w:r>
      <w:r w:rsidR="000B6E54">
        <w:t xml:space="preserve">capital </w:t>
      </w:r>
      <w:r>
        <w:t>funding for the Safety Net Transformation program</w:t>
      </w:r>
      <w:r w:rsidR="000B6E54">
        <w:t xml:space="preserve"> and $330 million in new operating support</w:t>
      </w:r>
      <w:r w:rsidR="000D5090">
        <w:t>.</w:t>
      </w:r>
    </w:p>
    <w:p w14:paraId="7EFFB42A" w14:textId="320B04BF" w:rsidR="008657C8" w:rsidRDefault="00C347F0" w:rsidP="00C347F0">
      <w:pPr>
        <w:pStyle w:val="ListParagraph"/>
        <w:numPr>
          <w:ilvl w:val="0"/>
          <w:numId w:val="37"/>
        </w:numPr>
        <w:spacing w:after="0" w:line="240" w:lineRule="auto"/>
        <w:ind w:right="300"/>
        <w:textAlignment w:val="baseline"/>
      </w:pPr>
      <w:r>
        <w:t xml:space="preserve">$500 million in new funding for the </w:t>
      </w:r>
      <w:r w:rsidR="00A81369">
        <w:t xml:space="preserve">hospital </w:t>
      </w:r>
      <w:r>
        <w:t>Vital Access Provider Assurance Program (VAPAP).</w:t>
      </w:r>
    </w:p>
    <w:p w14:paraId="1B56014F" w14:textId="77777777" w:rsidR="00CC7D8D" w:rsidRDefault="00CC7D8D" w:rsidP="00CC7D8D">
      <w:pPr>
        <w:pStyle w:val="ListParagraph"/>
        <w:spacing w:after="0" w:line="240" w:lineRule="auto"/>
        <w:ind w:right="300"/>
        <w:textAlignment w:val="baseline"/>
      </w:pPr>
    </w:p>
    <w:p w14:paraId="7EA99C40" w14:textId="6A13D04D" w:rsidR="000D5090" w:rsidRDefault="000D5090" w:rsidP="00567101">
      <w:pPr>
        <w:spacing w:line="247" w:lineRule="auto"/>
      </w:pPr>
      <w:r>
        <w:t xml:space="preserve">Notably, the Budget does not address the </w:t>
      </w:r>
      <w:r w:rsidR="00F737F1">
        <w:t xml:space="preserve">approximately 450,000 New Yorkers </w:t>
      </w:r>
      <w:r w:rsidR="00413E2C" w:rsidRPr="004A435C">
        <w:t>who are expected to lose access to subsidized insurance on July 1</w:t>
      </w:r>
      <w:r w:rsidR="00413E2C" w:rsidRPr="004A435C">
        <w:rPr>
          <w:vertAlign w:val="superscript"/>
        </w:rPr>
        <w:t>st</w:t>
      </w:r>
      <w:r w:rsidR="00413E2C" w:rsidRPr="004A435C">
        <w:t>.</w:t>
      </w:r>
      <w:r w:rsidR="00413E2C">
        <w:t xml:space="preserve"> </w:t>
      </w:r>
      <w:r w:rsidR="00B43823">
        <w:t>T</w:t>
      </w:r>
      <w:r w:rsidR="00FF28EC">
        <w:t>he Senate has introduced a bill (</w:t>
      </w:r>
      <w:hyperlink r:id="rId8" w:history="1">
        <w:r w:rsidR="00FF28EC" w:rsidRPr="00FF28EC">
          <w:rPr>
            <w:rStyle w:val="Hyperlink"/>
          </w:rPr>
          <w:t>S9589</w:t>
        </w:r>
      </w:hyperlink>
      <w:r w:rsidR="00FF28EC">
        <w:t>) intended to preserve health coverage for certain immigrants and</w:t>
      </w:r>
      <w:r w:rsidR="005C64F2">
        <w:t xml:space="preserve"> low-income</w:t>
      </w:r>
      <w:r w:rsidR="00FF28EC">
        <w:t xml:space="preserve"> individuals </w:t>
      </w:r>
      <w:r w:rsidR="002B4B84">
        <w:t>who will lose coverage</w:t>
      </w:r>
      <w:r w:rsidR="00B43823">
        <w:t xml:space="preserve">; however, with one week left in session it has a narrow path forward. </w:t>
      </w:r>
      <w:r w:rsidR="00DD6AC2">
        <w:t>The Governor previously indicated that the State is working with insurance plans to reduce patient cost-sharing for those shifting to marketplace plans.</w:t>
      </w:r>
    </w:p>
    <w:p w14:paraId="04A59F0D" w14:textId="52BFB043" w:rsidR="00A30F11" w:rsidRDefault="00BA04BC" w:rsidP="00567101">
      <w:pPr>
        <w:spacing w:line="247" w:lineRule="auto"/>
      </w:pPr>
      <w:r w:rsidRPr="009661A7">
        <w:t xml:space="preserve">The summary </w:t>
      </w:r>
      <w:r w:rsidR="00FE520C" w:rsidRPr="009661A7">
        <w:t xml:space="preserve">below </w:t>
      </w:r>
      <w:r w:rsidRPr="009661A7">
        <w:t xml:space="preserve">provides further detail on these and other </w:t>
      </w:r>
      <w:r w:rsidR="00140005">
        <w:t>health</w:t>
      </w:r>
      <w:r w:rsidR="00534404">
        <w:t xml:space="preserve"> policy</w:t>
      </w:r>
      <w:r w:rsidR="00140005">
        <w:t xml:space="preserve"> </w:t>
      </w:r>
      <w:r w:rsidRPr="009661A7">
        <w:t xml:space="preserve">highlights from the </w:t>
      </w:r>
      <w:r w:rsidR="00A931F1">
        <w:t xml:space="preserve">Enacted </w:t>
      </w:r>
      <w:r>
        <w:t>Budget.</w:t>
      </w:r>
      <w:r w:rsidRPr="009661A7">
        <w:t xml:space="preserve"> Where available, legislative sources are marked in [brackets].</w:t>
      </w:r>
      <w:bookmarkStart w:id="1" w:name="_Toc188443880"/>
      <w:bookmarkStart w:id="2" w:name="_Toc188444012"/>
      <w:bookmarkStart w:id="3" w:name="_Toc188376107"/>
      <w:bookmarkStart w:id="4" w:name="OLE_LINK2"/>
      <w:bookmarkStart w:id="5" w:name="OLE_LINK1"/>
    </w:p>
    <w:p w14:paraId="63757817" w14:textId="235779DA" w:rsidR="00FE520C" w:rsidRDefault="00FE520C">
      <w:r>
        <w:br w:type="page"/>
      </w:r>
    </w:p>
    <w:p w14:paraId="6DEA5B16" w14:textId="77777777" w:rsidR="001A033A" w:rsidRDefault="001A033A"/>
    <w:p w14:paraId="6033099A" w14:textId="0FEA70B0" w:rsidR="00CA6B00" w:rsidRDefault="0090702C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r>
        <w:fldChar w:fldCharType="begin"/>
      </w:r>
      <w:r>
        <w:instrText xml:space="preserve"> TOC \o "2-3" \h \z \t "Heading 1,1" </w:instrText>
      </w:r>
      <w:r>
        <w:fldChar w:fldCharType="separate"/>
      </w:r>
      <w:hyperlink w:anchor="_Toc230853652" w:history="1">
        <w:r w:rsidR="00CA6B00" w:rsidRPr="003C2868">
          <w:rPr>
            <w:rStyle w:val="Hyperlink"/>
            <w:noProof/>
          </w:rPr>
          <w:t>Medicaid</w:t>
        </w:r>
        <w:r w:rsidR="00CA6B00">
          <w:rPr>
            <w:noProof/>
            <w:webHidden/>
          </w:rPr>
          <w:tab/>
        </w:r>
        <w:r w:rsidR="00CA6B00">
          <w:rPr>
            <w:noProof/>
            <w:webHidden/>
          </w:rPr>
          <w:fldChar w:fldCharType="begin"/>
        </w:r>
        <w:r w:rsidR="00CA6B00">
          <w:rPr>
            <w:noProof/>
            <w:webHidden/>
          </w:rPr>
          <w:instrText xml:space="preserve"> PAGEREF _Toc230853652 \h </w:instrText>
        </w:r>
        <w:r w:rsidR="00CA6B00">
          <w:rPr>
            <w:noProof/>
            <w:webHidden/>
          </w:rPr>
        </w:r>
        <w:r w:rsidR="00CA6B00">
          <w:rPr>
            <w:noProof/>
            <w:webHidden/>
          </w:rPr>
          <w:fldChar w:fldCharType="separate"/>
        </w:r>
        <w:r w:rsidR="00CA6B00">
          <w:rPr>
            <w:noProof/>
            <w:webHidden/>
          </w:rPr>
          <w:t>3</w:t>
        </w:r>
        <w:r w:rsidR="00CA6B00">
          <w:rPr>
            <w:noProof/>
            <w:webHidden/>
          </w:rPr>
          <w:fldChar w:fldCharType="end"/>
        </w:r>
      </w:hyperlink>
    </w:p>
    <w:p w14:paraId="210438C8" w14:textId="6B24512F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3" w:history="1">
        <w:r w:rsidRPr="003C2868">
          <w:rPr>
            <w:rStyle w:val="Hyperlink"/>
            <w:noProof/>
          </w:rPr>
          <w:t>Medicaid Global Cap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031059" w14:textId="45D9D56D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4" w:history="1">
        <w:r w:rsidRPr="003C2868">
          <w:rPr>
            <w:rStyle w:val="Hyperlink"/>
            <w:noProof/>
          </w:rPr>
          <w:t>Managed Care Savings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96E8F2" w14:textId="60091E33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5" w:history="1">
        <w:r w:rsidRPr="003C2868">
          <w:rPr>
            <w:rStyle w:val="Hyperlink"/>
            <w:noProof/>
          </w:rPr>
          <w:t>MCO Tax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7351C0" w14:textId="05AE00DA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6" w:history="1">
        <w:r w:rsidRPr="003C2868">
          <w:rPr>
            <w:rStyle w:val="Hyperlink"/>
            <w:noProof/>
          </w:rPr>
          <w:t>Aggregate Medicaid Rate Increase for Hospitals and Nursing Homes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13F150" w14:textId="22397DE6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7" w:history="1">
        <w:r w:rsidRPr="003C2868">
          <w:rPr>
            <w:rStyle w:val="Hyperlink"/>
            <w:noProof/>
          </w:rPr>
          <w:t>Inpatient Capital Add-on Reduction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1D7D9A" w14:textId="1371155E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8" w:history="1">
        <w:r w:rsidRPr="003C2868">
          <w:rPr>
            <w:rStyle w:val="Hyperlink"/>
            <w:noProof/>
          </w:rPr>
          <w:t>Coverage for Noncitizens Over Age 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685A3B" w14:textId="5B95700D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59" w:history="1">
        <w:r w:rsidRPr="003C2868">
          <w:rPr>
            <w:rStyle w:val="Hyperlink"/>
            <w:noProof/>
          </w:rPr>
          <w:t>School-Based Health Center Carveout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5A68BE" w14:textId="6F6D5F5C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0" w:history="1">
        <w:r w:rsidRPr="003C2868">
          <w:rPr>
            <w:rStyle w:val="Hyperlink"/>
            <w:noProof/>
          </w:rPr>
          <w:t>Exclusion of Medicaid Services from IDR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711CA9" w14:textId="07F547B1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1" w:history="1">
        <w:r w:rsidRPr="003C2868">
          <w:rPr>
            <w:rStyle w:val="Hyperlink"/>
            <w:noProof/>
          </w:rPr>
          <w:t>Health Home Care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655EDB" w14:textId="168D12BD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62" w:history="1">
        <w:r w:rsidRPr="003C2868">
          <w:rPr>
            <w:rStyle w:val="Hyperlink"/>
            <w:noProof/>
          </w:rPr>
          <w:t>Health Insurance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F4BAC4" w14:textId="5A34F183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3" w:history="1">
        <w:r w:rsidRPr="003C2868">
          <w:rPr>
            <w:rStyle w:val="Hyperlink"/>
            <w:noProof/>
          </w:rPr>
          <w:t>Prior Authorization and Continuity of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ADEEC9" w14:textId="04506B9B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64" w:history="1">
        <w:r w:rsidRPr="003C2868">
          <w:rPr>
            <w:rStyle w:val="Hyperlink"/>
            <w:noProof/>
          </w:rPr>
          <w:t>Hospitals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AE58FA" w14:textId="63F927A5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5" w:history="1">
        <w:r w:rsidRPr="003C2868">
          <w:rPr>
            <w:rStyle w:val="Hyperlink"/>
            <w:noProof/>
          </w:rPr>
          <w:t>Funding for Financially Distressed Hospitals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98655B" w14:textId="19A57B70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6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753B89" w14:textId="693B5870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67" w:history="1">
        <w:r w:rsidRPr="003C2868">
          <w:rPr>
            <w:rStyle w:val="Hyperlink"/>
            <w:noProof/>
          </w:rPr>
          <w:t>Long Term Care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79CAC3" w14:textId="730538C3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8" w:history="1">
        <w:r w:rsidRPr="003C2868">
          <w:rPr>
            <w:rStyle w:val="Hyperlink"/>
            <w:noProof/>
          </w:rPr>
          <w:t>Nursing Home Capital Reduction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648C6E" w14:textId="2F9121A4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69" w:history="1">
        <w:r w:rsidRPr="003C2868">
          <w:rPr>
            <w:rStyle w:val="Hyperlink"/>
            <w:noProof/>
          </w:rPr>
          <w:t>Personal Care Administrative Reimbursement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6C3FE3" w14:textId="20DA9793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0" w:history="1">
        <w:r w:rsidRPr="003C2868">
          <w:rPr>
            <w:rStyle w:val="Hyperlink"/>
            <w:noProof/>
          </w:rPr>
          <w:t>Reinvesting Nursing Home VAPAP Funds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DBBED5" w14:textId="770D4D2E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1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234C347" w14:textId="21E2BEE6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72" w:history="1">
        <w:r w:rsidRPr="003C2868">
          <w:rPr>
            <w:rStyle w:val="Hyperlink"/>
            <w:noProof/>
          </w:rPr>
          <w:t>Workforce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3442BA" w14:textId="3F446D0D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3" w:history="1">
        <w:r w:rsidRPr="003C2868">
          <w:rPr>
            <w:rStyle w:val="Hyperlink"/>
            <w:noProof/>
          </w:rPr>
          <w:t>Temporary Staffing Agencies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F09B6F" w14:textId="274D67DB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4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87BE34" w14:textId="18905F24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75" w:history="1">
        <w:r w:rsidRPr="003C2868">
          <w:rPr>
            <w:rStyle w:val="Hyperlink"/>
            <w:noProof/>
          </w:rPr>
          <w:t>Investor-Backed Health Care Transactions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98924E" w14:textId="60244F5E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76" w:history="1">
        <w:r w:rsidRPr="003C2868">
          <w:rPr>
            <w:rStyle w:val="Hyperlink"/>
            <w:noProof/>
          </w:rPr>
          <w:t>Behavioral 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3183C4" w14:textId="3474DA18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7" w:history="1">
        <w:r w:rsidRPr="003C2868">
          <w:rPr>
            <w:rStyle w:val="Hyperlink"/>
            <w:noProof/>
          </w:rPr>
          <w:t>Targeted Inflationary Increase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98D058" w14:textId="79462FD0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8" w:history="1">
        <w:r w:rsidRPr="003C2868">
          <w:rPr>
            <w:rStyle w:val="Hyperlink"/>
            <w:noProof/>
          </w:rPr>
          <w:t>Gambling Addiction Insurance Coverage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7D8727" w14:textId="1EFBF532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79" w:history="1">
        <w:r w:rsidRPr="003C2868">
          <w:rPr>
            <w:rStyle w:val="Hyperlink"/>
            <w:noProof/>
          </w:rPr>
          <w:t>APG Rates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B6AC13" w14:textId="15CE5439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0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F424A1" w14:textId="3B19D32F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81" w:history="1">
        <w:r w:rsidRPr="003C2868">
          <w:rPr>
            <w:rStyle w:val="Hyperlink"/>
            <w:noProof/>
          </w:rPr>
          <w:t>Emergency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2DF227" w14:textId="4721E647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2" w:history="1">
        <w:r w:rsidRPr="003C2868">
          <w:rPr>
            <w:rStyle w:val="Hyperlink"/>
            <w:noProof/>
          </w:rPr>
          <w:t>Cardiac Emergencies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AFAED0" w14:textId="6BE31DC9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3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D249F0" w14:textId="62DB3E0F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84" w:history="1">
        <w:r w:rsidRPr="003C2868">
          <w:rPr>
            <w:rStyle w:val="Hyperlink"/>
            <w:noProof/>
          </w:rPr>
          <w:t>State Agencies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6B5700" w14:textId="6CBA8575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5" w:history="1">
        <w:r w:rsidRPr="003C2868">
          <w:rPr>
            <w:rStyle w:val="Hyperlink"/>
            <w:noProof/>
          </w:rPr>
          <w:t>Department of Health (DOH)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F57A88" w14:textId="48ABA22D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6" w:history="1">
        <w:r w:rsidRPr="003C2868">
          <w:rPr>
            <w:rStyle w:val="Hyperlink"/>
            <w:noProof/>
          </w:rPr>
          <w:t>Office of Mental Health (OMH)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6AA3F2" w14:textId="7E0742A1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7" w:history="1">
        <w:r w:rsidRPr="003C2868">
          <w:rPr>
            <w:rStyle w:val="Hyperlink"/>
            <w:noProof/>
          </w:rPr>
          <w:t>Office of Addiction Services and Supports (OASAS)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20745F" w14:textId="097A36E9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8" w:history="1">
        <w:r w:rsidRPr="003C2868">
          <w:rPr>
            <w:rStyle w:val="Hyperlink"/>
            <w:noProof/>
          </w:rPr>
          <w:t>Office for People with Developmental Disabilities (OPWDD)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1D4B48" w14:textId="0336B0D5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89" w:history="1">
        <w:r w:rsidRPr="003C2868">
          <w:rPr>
            <w:rStyle w:val="Hyperlink"/>
            <w:noProof/>
          </w:rPr>
          <w:t>Other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DE0325" w14:textId="4F6C7C98" w:rsidR="00CA6B00" w:rsidRDefault="00CA6B00">
      <w:pPr>
        <w:pStyle w:val="TOC1"/>
        <w:tabs>
          <w:tab w:val="right" w:leader="dot" w:pos="9350"/>
        </w:tabs>
        <w:rPr>
          <w:rFonts w:asciiTheme="minorHAnsi" w:hAnsiTheme="minorHAnsi"/>
          <w:b w:val="0"/>
          <w:bCs w:val="0"/>
          <w:i w:val="0"/>
          <w:iCs w:val="0"/>
          <w:noProof/>
          <w:color w:val="auto"/>
          <w:sz w:val="24"/>
          <w:lang w:eastAsia="en-US"/>
        </w:rPr>
      </w:pPr>
      <w:hyperlink w:anchor="_Toc230853690" w:history="1">
        <w:r w:rsidRPr="003C2868">
          <w:rPr>
            <w:rStyle w:val="Hyperlink"/>
            <w:noProof/>
          </w:rPr>
          <w:t>Other Health Care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2B4AD4" w14:textId="3AD070E7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91" w:history="1">
        <w:r w:rsidRPr="003C2868">
          <w:rPr>
            <w:rStyle w:val="Hyperlink"/>
            <w:noProof/>
          </w:rPr>
          <w:t>New York City Public Health Reimbursement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E27D2E" w14:textId="27A66C6F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92" w:history="1">
        <w:r w:rsidRPr="003C2868">
          <w:rPr>
            <w:rStyle w:val="Hyperlink"/>
            <w:noProof/>
          </w:rPr>
          <w:t>Extenders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E94992" w14:textId="670E26A5" w:rsidR="00CA6B00" w:rsidRDefault="00CA6B00">
      <w:pPr>
        <w:pStyle w:val="TOC2"/>
        <w:tabs>
          <w:tab w:val="right" w:leader="dot" w:pos="9350"/>
        </w:tabs>
        <w:rPr>
          <w:rFonts w:asciiTheme="minorHAnsi" w:hAnsiTheme="minorHAnsi"/>
          <w:bCs w:val="0"/>
          <w:noProof/>
          <w:color w:val="auto"/>
          <w:sz w:val="24"/>
          <w:szCs w:val="24"/>
          <w:lang w:eastAsia="en-US"/>
        </w:rPr>
      </w:pPr>
      <w:hyperlink w:anchor="_Toc230853693" w:history="1">
        <w:r w:rsidRPr="003C2868">
          <w:rPr>
            <w:rStyle w:val="Hyperlink"/>
            <w:noProof/>
          </w:rPr>
          <w:t>Omitted Proposals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_Toc230853693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A38CD1" w14:textId="5EE26EF5" w:rsidR="0090702C" w:rsidRDefault="0090702C" w:rsidP="00A30F11">
      <w:pPr>
        <w:pStyle w:val="Heading1"/>
      </w:pPr>
      <w:r>
        <w:fldChar w:fldCharType="end"/>
      </w:r>
    </w:p>
    <w:p w14:paraId="40E8E780" w14:textId="77777777" w:rsidR="0090702C" w:rsidRDefault="0090702C">
      <w:pPr>
        <w:rPr>
          <w:rFonts w:ascii="Helvetica" w:hAnsi="Helvetica"/>
          <w:b/>
          <w:bCs/>
          <w:color w:val="0F357F"/>
          <w:sz w:val="36"/>
          <w:szCs w:val="36"/>
        </w:rPr>
      </w:pPr>
      <w:r>
        <w:br w:type="page"/>
      </w:r>
    </w:p>
    <w:p w14:paraId="3FB9C76D" w14:textId="125E261D" w:rsidR="008B28E5" w:rsidRPr="00A30F11" w:rsidRDefault="008B28E5" w:rsidP="00A30F11">
      <w:pPr>
        <w:pStyle w:val="Heading1"/>
      </w:pPr>
      <w:bookmarkStart w:id="6" w:name="_Toc230853652"/>
      <w:r w:rsidRPr="00A30F11">
        <w:lastRenderedPageBreak/>
        <w:t>Medicaid</w:t>
      </w:r>
      <w:bookmarkEnd w:id="1"/>
      <w:bookmarkEnd w:id="2"/>
      <w:bookmarkEnd w:id="6"/>
    </w:p>
    <w:p w14:paraId="0761F6EC" w14:textId="0AAD91A9" w:rsidR="008B28E5" w:rsidRDefault="008B28E5" w:rsidP="008B28E5">
      <w:pPr>
        <w:pStyle w:val="Heading2"/>
        <w:spacing w:line="247" w:lineRule="auto"/>
      </w:pPr>
      <w:bookmarkStart w:id="7" w:name="_Toc188443881"/>
      <w:bookmarkStart w:id="8" w:name="_Toc188444013"/>
      <w:bookmarkStart w:id="9" w:name="_Toc230853653"/>
      <w:r>
        <w:t>Medicaid Global Cap</w:t>
      </w:r>
      <w:bookmarkEnd w:id="3"/>
      <w:bookmarkEnd w:id="7"/>
      <w:bookmarkEnd w:id="8"/>
      <w:bookmarkEnd w:id="9"/>
    </w:p>
    <w:p w14:paraId="544A6039" w14:textId="19493C0D" w:rsidR="008B28E5" w:rsidRDefault="008B28E5" w:rsidP="008B28E5">
      <w:r>
        <w:t xml:space="preserve">The </w:t>
      </w:r>
      <w:r w:rsidR="00EC4D7E">
        <w:t>Enacted</w:t>
      </w:r>
      <w:r>
        <w:t xml:space="preserve"> Budget extend</w:t>
      </w:r>
      <w:r w:rsidR="00EC4D7E">
        <w:t>s</w:t>
      </w:r>
      <w:r>
        <w:t xml:space="preserve"> the Medicaid Global Cap by an additional year, through FY 202</w:t>
      </w:r>
      <w:r w:rsidR="00A432A2">
        <w:t xml:space="preserve">8 </w:t>
      </w:r>
      <w:r>
        <w:t>[</w:t>
      </w:r>
      <w:r w:rsidR="00AF4B15">
        <w:t>Health and Mental Hygiene (</w:t>
      </w:r>
      <w:r>
        <w:t>HMH</w:t>
      </w:r>
      <w:r w:rsidR="00AF4B15">
        <w:t>)</w:t>
      </w:r>
      <w:r>
        <w:t>, Part A]. The Global Cap sets a spending limit on state share Medicaid costs at the five-year rolling average of national Medicaid spending projections.</w:t>
      </w:r>
    </w:p>
    <w:p w14:paraId="323A7331" w14:textId="741C530D" w:rsidR="008B28E5" w:rsidRDefault="00FB1DCF" w:rsidP="00FB1DCF">
      <w:pPr>
        <w:pStyle w:val="Heading2"/>
      </w:pPr>
      <w:bookmarkStart w:id="10" w:name="_Toc230853654"/>
      <w:r>
        <w:t>Managed Care Savings</w:t>
      </w:r>
      <w:bookmarkEnd w:id="10"/>
      <w:r>
        <w:t xml:space="preserve"> </w:t>
      </w:r>
    </w:p>
    <w:p w14:paraId="123B11A5" w14:textId="2F142CEF" w:rsidR="00FB1DCF" w:rsidRDefault="00FB1DCF" w:rsidP="00FB1DCF">
      <w:r>
        <w:t xml:space="preserve">The Budget includes </w:t>
      </w:r>
      <w:r w:rsidR="00E51D26">
        <w:t xml:space="preserve">and modifies </w:t>
      </w:r>
      <w:r w:rsidR="00C32D72">
        <w:t>some of the</w:t>
      </w:r>
      <w:r>
        <w:t xml:space="preserve"> </w:t>
      </w:r>
      <w:r w:rsidR="0032574C">
        <w:t xml:space="preserve">Executive </w:t>
      </w:r>
      <w:r>
        <w:t>proposals intended to reduce</w:t>
      </w:r>
      <w:r w:rsidR="00802B14">
        <w:t xml:space="preserve"> expenditures within Medicaid managed care and related programs:</w:t>
      </w:r>
      <w:r>
        <w:t xml:space="preserve"> </w:t>
      </w:r>
    </w:p>
    <w:p w14:paraId="31DC5389" w14:textId="259F3AF6" w:rsidR="00FB1DCF" w:rsidRDefault="001926B6" w:rsidP="00D43D36">
      <w:pPr>
        <w:pStyle w:val="ListParagraph"/>
        <w:numPr>
          <w:ilvl w:val="0"/>
          <w:numId w:val="21"/>
        </w:numPr>
      </w:pPr>
      <w:r>
        <w:t xml:space="preserve">Removing the guarantee of full Medicare coinsurance payments on crossover claims for </w:t>
      </w:r>
      <w:r w:rsidR="00C163C9">
        <w:t>psychologists</w:t>
      </w:r>
      <w:r w:rsidR="00BF314B">
        <w:t>, while retaining protections for ambulance services</w:t>
      </w:r>
      <w:r w:rsidR="00C163C9">
        <w:t>;</w:t>
      </w:r>
    </w:p>
    <w:p w14:paraId="1101360A" w14:textId="54408D42" w:rsidR="00042B29" w:rsidRDefault="00042B29" w:rsidP="00D43D36">
      <w:pPr>
        <w:pStyle w:val="ListParagraph"/>
        <w:numPr>
          <w:ilvl w:val="0"/>
          <w:numId w:val="21"/>
        </w:numPr>
      </w:pPr>
      <w:r>
        <w:t>Repealing the process for children under the age of 19 to apply for a Medicaid presumptive eligibility determination;</w:t>
      </w:r>
    </w:p>
    <w:p w14:paraId="2711B170" w14:textId="5BB463AD" w:rsidR="00077700" w:rsidRDefault="00077700" w:rsidP="00D43D36">
      <w:pPr>
        <w:pStyle w:val="ListParagraph"/>
        <w:numPr>
          <w:ilvl w:val="0"/>
          <w:numId w:val="21"/>
        </w:numPr>
      </w:pPr>
      <w:r>
        <w:t xml:space="preserve">Modifying Medicaid coverage standards for biomarker precision medical testing by removing peer-reviewed literature as an independent coverage basis and clarifying that coverage does not alter standard medical necessity review; and </w:t>
      </w:r>
    </w:p>
    <w:p w14:paraId="2543E9D8" w14:textId="394A6D23" w:rsidR="00042B29" w:rsidRDefault="00042B29" w:rsidP="00D43D36">
      <w:pPr>
        <w:pStyle w:val="ListParagraph"/>
        <w:numPr>
          <w:ilvl w:val="0"/>
          <w:numId w:val="21"/>
        </w:numPr>
      </w:pPr>
      <w:r>
        <w:t xml:space="preserve">Repealing </w:t>
      </w:r>
      <w:r w:rsidR="00C163C9">
        <w:t xml:space="preserve">continuous eligibility for Medicaid and CHIP </w:t>
      </w:r>
      <w:r w:rsidR="007C4D4A">
        <w:t>through a</w:t>
      </w:r>
      <w:r w:rsidR="00C163C9">
        <w:t>ge six</w:t>
      </w:r>
      <w:r w:rsidR="007C4D4A">
        <w:t xml:space="preserve"> </w:t>
      </w:r>
      <w:r w:rsidR="00C163C9">
        <w:t>[HMH, Part M].</w:t>
      </w:r>
    </w:p>
    <w:p w14:paraId="17D448AE" w14:textId="5A22B36E" w:rsidR="000B73B4" w:rsidRDefault="00BB5E7F" w:rsidP="006A42B9">
      <w:r>
        <w:t xml:space="preserve">The </w:t>
      </w:r>
      <w:r w:rsidR="006A42B9">
        <w:t xml:space="preserve">Enacted </w:t>
      </w:r>
      <w:r w:rsidR="00EC5AB3">
        <w:t>Budge</w:t>
      </w:r>
      <w:r w:rsidR="006A42B9">
        <w:t xml:space="preserve">t </w:t>
      </w:r>
      <w:r w:rsidR="000B73B4">
        <w:t>omits the following</w:t>
      </w:r>
      <w:r w:rsidR="006A42B9">
        <w:t xml:space="preserve"> Executive proposal</w:t>
      </w:r>
      <w:r w:rsidR="000B73B4">
        <w:t xml:space="preserve">s: </w:t>
      </w:r>
    </w:p>
    <w:p w14:paraId="7977A1B2" w14:textId="7EC5CE5A" w:rsidR="00763974" w:rsidRDefault="00BA1DA3" w:rsidP="000B73B4">
      <w:pPr>
        <w:pStyle w:val="ListParagraph"/>
        <w:numPr>
          <w:ilvl w:val="0"/>
          <w:numId w:val="33"/>
        </w:numPr>
      </w:pPr>
      <w:r>
        <w:t>Requiring</w:t>
      </w:r>
      <w:r w:rsidR="005A110B">
        <w:t xml:space="preserve"> Applied Behavior Analysis (ABA) services to be recommended by a provider designated as an ABA Center of Excellence</w:t>
      </w:r>
      <w:r>
        <w:t xml:space="preserve">; and </w:t>
      </w:r>
    </w:p>
    <w:p w14:paraId="269B134E" w14:textId="20F71DE0" w:rsidR="00BA1DA3" w:rsidRDefault="00BA1DA3" w:rsidP="000B73B4">
      <w:pPr>
        <w:pStyle w:val="ListParagraph"/>
        <w:numPr>
          <w:ilvl w:val="0"/>
          <w:numId w:val="33"/>
        </w:numPr>
      </w:pPr>
      <w:r>
        <w:t xml:space="preserve">Eliminating Long Term Services and Supports (LTSS) in the Essential Plan. </w:t>
      </w:r>
    </w:p>
    <w:p w14:paraId="759715FB" w14:textId="7544DDCC" w:rsidR="005521E9" w:rsidRDefault="005521E9" w:rsidP="005521E9">
      <w:pPr>
        <w:pStyle w:val="Heading2"/>
      </w:pPr>
      <w:bookmarkStart w:id="11" w:name="_Toc230853655"/>
      <w:r>
        <w:t>MCO Tax</w:t>
      </w:r>
      <w:bookmarkEnd w:id="11"/>
    </w:p>
    <w:p w14:paraId="1F63480F" w14:textId="5F084AC8" w:rsidR="00000412" w:rsidRPr="00000412" w:rsidRDefault="00000412" w:rsidP="00000412">
      <w:r>
        <w:t xml:space="preserve">The Budget directs </w:t>
      </w:r>
      <w:r w:rsidR="0022709E">
        <w:t>the Department of Health (DOH)</w:t>
      </w:r>
      <w:r>
        <w:t xml:space="preserve">, subject to </w:t>
      </w:r>
      <w:r w:rsidR="0022709E">
        <w:t>Department of Budget (</w:t>
      </w:r>
      <w:r>
        <w:t>DOB</w:t>
      </w:r>
      <w:r w:rsidR="0022709E">
        <w:t>)</w:t>
      </w:r>
      <w:r>
        <w:t xml:space="preserve"> approval and federal approval, to seek an amendment to the managed care organization provider tax. Prior to January 1, 2027, health plans continue to pay the existing tiered per-member</w:t>
      </w:r>
      <w:r w:rsidR="000D544B">
        <w:t xml:space="preserve"> </w:t>
      </w:r>
      <w:r>
        <w:t xml:space="preserve">month </w:t>
      </w:r>
      <w:r w:rsidR="004172D7">
        <w:t>fee</w:t>
      </w:r>
      <w:r>
        <w:t xml:space="preserve"> based on Medicaid, Essential Plan, and other covered member months. Beginning January 1, 2027, the tax would instead be imposed </w:t>
      </w:r>
      <w:r w:rsidRPr="00000412">
        <w:t>at</w:t>
      </w:r>
      <w:r w:rsidRPr="00000412">
        <w:rPr>
          <w:b/>
          <w:bCs/>
        </w:rPr>
        <w:t xml:space="preserve"> </w:t>
      </w:r>
      <w:r w:rsidRPr="00000412">
        <w:rPr>
          <w:rStyle w:val="Strong"/>
          <w:b w:val="0"/>
          <w:bCs w:val="0"/>
        </w:rPr>
        <w:t xml:space="preserve">0.35% of each </w:t>
      </w:r>
      <w:r w:rsidR="00B94990">
        <w:rPr>
          <w:rStyle w:val="Strong"/>
          <w:b w:val="0"/>
          <w:bCs w:val="0"/>
        </w:rPr>
        <w:t xml:space="preserve">state-regulated </w:t>
      </w:r>
      <w:r w:rsidRPr="00000412">
        <w:rPr>
          <w:rStyle w:val="Strong"/>
          <w:b w:val="0"/>
          <w:bCs w:val="0"/>
        </w:rPr>
        <w:t>health plan’s total premium revenue</w:t>
      </w:r>
      <w:r>
        <w:t xml:space="preserve"> [HMH, Part Y].</w:t>
      </w:r>
    </w:p>
    <w:p w14:paraId="030CC718" w14:textId="77777777" w:rsidR="002D0033" w:rsidRPr="00671FC6" w:rsidRDefault="002D0033" w:rsidP="002D0033">
      <w:pPr>
        <w:pStyle w:val="Heading2"/>
      </w:pPr>
      <w:bookmarkStart w:id="12" w:name="_Toc230853656"/>
      <w:r>
        <w:t>Aggregate Medicaid Rate Increase for Hospitals and Nursing Homes</w:t>
      </w:r>
      <w:bookmarkEnd w:id="12"/>
    </w:p>
    <w:p w14:paraId="16929B7E" w14:textId="7419CEC5" w:rsidR="00AC41C4" w:rsidRDefault="002D0033" w:rsidP="002D0033">
      <w:r w:rsidRPr="008E77A9">
        <w:t xml:space="preserve">The </w:t>
      </w:r>
      <w:r>
        <w:t xml:space="preserve">Budget </w:t>
      </w:r>
      <w:r w:rsidR="00FC4AD9">
        <w:t xml:space="preserve">includes </w:t>
      </w:r>
      <w:r w:rsidR="009D589B">
        <w:t>aggregate Medicaid payment increases of up to $706 million for hospital services, $480 million for nursing home services, $20 million for assisted living program services</w:t>
      </w:r>
      <w:r w:rsidR="00653EAC">
        <w:t xml:space="preserve">, and $80 million for </w:t>
      </w:r>
      <w:r w:rsidR="00356706">
        <w:t>Federally Qualified Health Centers (FQHCs)</w:t>
      </w:r>
      <w:r w:rsidR="00F92A01">
        <w:t xml:space="preserve">. </w:t>
      </w:r>
      <w:r>
        <w:t xml:space="preserve">These increases are to be funded </w:t>
      </w:r>
      <w:r>
        <w:lastRenderedPageBreak/>
        <w:t>by the Healthcare Stability Fund and are contingent on fund balances and federal financial participation</w:t>
      </w:r>
      <w:r w:rsidR="00AC41C4">
        <w:t xml:space="preserve"> [HMH, Part O].</w:t>
      </w:r>
    </w:p>
    <w:p w14:paraId="324BF1AD" w14:textId="2ACD6C2A" w:rsidR="00AC41C4" w:rsidRDefault="00AC41C4" w:rsidP="00AC41C4">
      <w:pPr>
        <w:pStyle w:val="Heading2"/>
      </w:pPr>
      <w:bookmarkStart w:id="13" w:name="_Toc230853657"/>
      <w:r>
        <w:t>Inpatient Capital Add-on Reduction</w:t>
      </w:r>
      <w:bookmarkEnd w:id="13"/>
    </w:p>
    <w:p w14:paraId="27D0CFA0" w14:textId="6E1CAD46" w:rsidR="002D0033" w:rsidRDefault="00AC41C4" w:rsidP="002D0033">
      <w:r>
        <w:t xml:space="preserve">The Budget </w:t>
      </w:r>
      <w:r w:rsidR="000F2131">
        <w:t>partially restores inpatient Medicaid capital reimbursement for general hospitals by reducing the capital add-on payment reduction from 20% to 10%</w:t>
      </w:r>
      <w:r>
        <w:t xml:space="preserve"> effective April 1, 2026</w:t>
      </w:r>
      <w:r w:rsidR="00D437BF">
        <w:t xml:space="preserve">. The change also applies to related capital reconciliation adjustments and recoupments </w:t>
      </w:r>
      <w:r w:rsidR="002D0033">
        <w:t>[HMH, Part O].</w:t>
      </w:r>
    </w:p>
    <w:p w14:paraId="509884F3" w14:textId="61F38F97" w:rsidR="003F4AFF" w:rsidRDefault="008E60C8" w:rsidP="00755F76">
      <w:pPr>
        <w:pStyle w:val="Heading2"/>
      </w:pPr>
      <w:bookmarkStart w:id="14" w:name="_Toc230853658"/>
      <w:r>
        <w:t>Coverage for Noncitizens</w:t>
      </w:r>
      <w:r w:rsidR="003F4AFF">
        <w:t xml:space="preserve"> Over Age 65</w:t>
      </w:r>
      <w:bookmarkEnd w:id="14"/>
    </w:p>
    <w:p w14:paraId="7A26A7C5" w14:textId="6247E630" w:rsidR="005049F2" w:rsidRDefault="003F4AFF" w:rsidP="003F4AFF">
      <w:r>
        <w:t xml:space="preserve">The Budget transitions Medicaid coverage for </w:t>
      </w:r>
      <w:r w:rsidR="00384134">
        <w:t>noncitizens</w:t>
      </w:r>
      <w:r>
        <w:t xml:space="preserve"> over age 65 from managed care to fee-for-service</w:t>
      </w:r>
      <w:r w:rsidR="00322E4F">
        <w:t>, effective January 1, 2027</w:t>
      </w:r>
      <w:r>
        <w:t xml:space="preserve"> [HMH, Part X]. </w:t>
      </w:r>
    </w:p>
    <w:p w14:paraId="0C112D68" w14:textId="5BCAEEF0" w:rsidR="003B7080" w:rsidRDefault="003B7080" w:rsidP="003B7080">
      <w:pPr>
        <w:pStyle w:val="Heading2"/>
      </w:pPr>
      <w:bookmarkStart w:id="15" w:name="_Toc230853659"/>
      <w:r>
        <w:t>School-Based Health Center Carveout</w:t>
      </w:r>
      <w:bookmarkEnd w:id="15"/>
    </w:p>
    <w:p w14:paraId="528836A2" w14:textId="48C8B4DE" w:rsidR="003B7080" w:rsidRPr="003F4AFF" w:rsidRDefault="003B7080" w:rsidP="003B7080">
      <w:pPr>
        <w:spacing w:after="0" w:line="240" w:lineRule="auto"/>
      </w:pPr>
      <w:r w:rsidRPr="003B7080">
        <w:t>The Enacted Budget makes permanent the carveout of school-based health centers from Medicaid</w:t>
      </w:r>
      <w:r w:rsidR="00560D46">
        <w:t xml:space="preserve"> </w:t>
      </w:r>
      <w:r w:rsidRPr="003B7080">
        <w:t xml:space="preserve">Managed Care [HMH, Part </w:t>
      </w:r>
      <w:r w:rsidR="00AD618E">
        <w:t>Z</w:t>
      </w:r>
      <w:r w:rsidRPr="003B7080">
        <w:t xml:space="preserve">]. </w:t>
      </w:r>
    </w:p>
    <w:p w14:paraId="4E896928" w14:textId="3120C0FD" w:rsidR="00755F76" w:rsidRDefault="00755F76" w:rsidP="00755F76">
      <w:pPr>
        <w:pStyle w:val="Heading2"/>
      </w:pPr>
      <w:bookmarkStart w:id="16" w:name="_Toc230853660"/>
      <w:r>
        <w:t>Exclusion of Medicaid Services from IDR Process</w:t>
      </w:r>
      <w:bookmarkEnd w:id="16"/>
    </w:p>
    <w:p w14:paraId="39A91C9A" w14:textId="1F57112A" w:rsidR="00755F76" w:rsidRDefault="00755F76" w:rsidP="002D0033">
      <w:r>
        <w:t>The Budget includes the Governor’s proposal to remove the Medicaid program from being subject to the independent dispute resolution (IDR) process for surprise out-of-network bills</w:t>
      </w:r>
      <w:r w:rsidR="005049F2">
        <w:t>.</w:t>
      </w:r>
      <w:r w:rsidR="00AC5CAC">
        <w:t xml:space="preserve"> </w:t>
      </w:r>
      <w:r w:rsidR="007C08F4">
        <w:t>The Budget also includes a separate methodology for disputes involving the health benefits program for state employees (NYSHIP)</w:t>
      </w:r>
      <w:r w:rsidR="0065483A">
        <w:t xml:space="preserve">, revises procedural rules for IDR fees, extends the decision timeline from 30 to 45 business days, and requires </w:t>
      </w:r>
      <w:r w:rsidR="00E459B0">
        <w:t>the Department of Financial Services (</w:t>
      </w:r>
      <w:r w:rsidR="0065483A">
        <w:t>DFS</w:t>
      </w:r>
      <w:r w:rsidR="00E459B0">
        <w:t>)</w:t>
      </w:r>
      <w:r w:rsidR="0065483A">
        <w:t xml:space="preserve"> to report on dispute outcomes</w:t>
      </w:r>
      <w:r w:rsidR="00926FDC">
        <w:t xml:space="preserve"> [HMH, Part BB]</w:t>
      </w:r>
      <w:r w:rsidR="0065483A">
        <w:t>.</w:t>
      </w:r>
      <w:r w:rsidR="007C08F4">
        <w:t xml:space="preserve"> </w:t>
      </w:r>
      <w:r w:rsidR="00AC5CAC">
        <w:t xml:space="preserve">The State anticipates $28.5 million in savings in FY 2027 from </w:t>
      </w:r>
      <w:r w:rsidR="005B48FE">
        <w:t xml:space="preserve">the </w:t>
      </w:r>
      <w:r w:rsidR="00D91E3F">
        <w:t>Medicaid exclusion</w:t>
      </w:r>
      <w:r>
        <w:t xml:space="preserve"> [B</w:t>
      </w:r>
      <w:r w:rsidR="00333A73">
        <w:t>udget Scorecard].</w:t>
      </w:r>
    </w:p>
    <w:p w14:paraId="1AF60573" w14:textId="77777777" w:rsidR="00AC5CAC" w:rsidRDefault="00AC5CAC" w:rsidP="00AC5CAC">
      <w:pPr>
        <w:pStyle w:val="Heading2"/>
      </w:pPr>
      <w:bookmarkStart w:id="17" w:name="_Toc230853661"/>
      <w:r>
        <w:t>Health Home Care Management</w:t>
      </w:r>
      <w:bookmarkEnd w:id="17"/>
    </w:p>
    <w:p w14:paraId="3D98C255" w14:textId="4C31BD23" w:rsidR="00AC5CAC" w:rsidRDefault="00AC5CAC" w:rsidP="002D0033">
      <w:r>
        <w:t>The Budget seeks to maximize available Health Home resources for higher acuity children and adults by reforming eligibility criteria for low-acuity members</w:t>
      </w:r>
      <w:r w:rsidR="0008342E">
        <w:t>. The State anticipates $2.5 million in savings in FY 2027 from this initiative</w:t>
      </w:r>
      <w:r>
        <w:t xml:space="preserve"> [</w:t>
      </w:r>
      <w:r w:rsidR="0008342E">
        <w:t>Budget Scorecard].</w:t>
      </w:r>
    </w:p>
    <w:p w14:paraId="406A3BC0" w14:textId="04807A9F" w:rsidR="00B915A7" w:rsidRPr="00544102" w:rsidRDefault="00B915A7" w:rsidP="00544102">
      <w:pPr>
        <w:pStyle w:val="Heading1"/>
      </w:pPr>
      <w:bookmarkStart w:id="18" w:name="_Toc230853662"/>
      <w:r w:rsidRPr="00544102">
        <w:t>Health Insurance</w:t>
      </w:r>
      <w:bookmarkEnd w:id="18"/>
    </w:p>
    <w:p w14:paraId="49BBE8D6" w14:textId="3DDA5049" w:rsidR="00B915A7" w:rsidRDefault="00B915A7" w:rsidP="00B915A7">
      <w:pPr>
        <w:pStyle w:val="Heading2"/>
      </w:pPr>
      <w:bookmarkStart w:id="19" w:name="_Toc230853663"/>
      <w:r>
        <w:t>Prior Authorization</w:t>
      </w:r>
      <w:r w:rsidR="00BA034A">
        <w:t xml:space="preserve"> and Continuity of Care</w:t>
      </w:r>
      <w:bookmarkEnd w:id="19"/>
    </w:p>
    <w:p w14:paraId="018B1FA2" w14:textId="776E02FD" w:rsidR="003E6ABC" w:rsidRDefault="00B915A7" w:rsidP="003E6ABC">
      <w:r>
        <w:t xml:space="preserve">The Budget includes </w:t>
      </w:r>
      <w:r w:rsidR="00CC7D8D">
        <w:t>the Governor’s</w:t>
      </w:r>
      <w:r>
        <w:t xml:space="preserve"> proposed reforms to health insurance prior authorization and utilization review processes. </w:t>
      </w:r>
      <w:r w:rsidR="003E6ABC">
        <w:t xml:space="preserve">The </w:t>
      </w:r>
      <w:r w:rsidR="00B551CD">
        <w:t>provisions</w:t>
      </w:r>
      <w:r w:rsidR="003E6ABC">
        <w:t xml:space="preserve"> expand the annual health insurance consumer guide </w:t>
      </w:r>
      <w:r w:rsidR="003E6ABC">
        <w:lastRenderedPageBreak/>
        <w:t xml:space="preserve">issued by DFS to include detailed, plan-specific data on prior authorization </w:t>
      </w:r>
      <w:r w:rsidR="00B30D1E">
        <w:t xml:space="preserve">and utilization review </w:t>
      </w:r>
      <w:r w:rsidR="003E6ABC">
        <w:t xml:space="preserve">activity, including but not limited to: </w:t>
      </w:r>
    </w:p>
    <w:p w14:paraId="072410D6" w14:textId="0B837EEB" w:rsidR="003E6ABC" w:rsidRDefault="003E6ABC" w:rsidP="003E6ABC">
      <w:pPr>
        <w:pStyle w:val="ListParagraph"/>
        <w:numPr>
          <w:ilvl w:val="0"/>
          <w:numId w:val="28"/>
        </w:numPr>
      </w:pPr>
      <w:r>
        <w:t xml:space="preserve">The number of prior authorization requests; </w:t>
      </w:r>
    </w:p>
    <w:p w14:paraId="37AC70FB" w14:textId="271F650F" w:rsidR="003E6ABC" w:rsidRDefault="003E6ABC" w:rsidP="003E6ABC">
      <w:pPr>
        <w:pStyle w:val="ListParagraph"/>
        <w:numPr>
          <w:ilvl w:val="0"/>
          <w:numId w:val="28"/>
        </w:numPr>
      </w:pPr>
      <w:r>
        <w:t>Approval and denial rates;</w:t>
      </w:r>
    </w:p>
    <w:p w14:paraId="6831A7B9" w14:textId="3E0D22C5" w:rsidR="003E6ABC" w:rsidRDefault="003E6ABC" w:rsidP="003E6ABC">
      <w:pPr>
        <w:pStyle w:val="ListParagraph"/>
        <w:numPr>
          <w:ilvl w:val="0"/>
          <w:numId w:val="28"/>
        </w:numPr>
      </w:pPr>
      <w:r>
        <w:t xml:space="preserve">Appeal and reversal rates; and </w:t>
      </w:r>
    </w:p>
    <w:p w14:paraId="0B49C4DD" w14:textId="0AC337D0" w:rsidR="003E6ABC" w:rsidRDefault="003E6ABC" w:rsidP="003E6ABC">
      <w:pPr>
        <w:pStyle w:val="ListParagraph"/>
        <w:numPr>
          <w:ilvl w:val="0"/>
          <w:numId w:val="28"/>
        </w:numPr>
      </w:pPr>
      <w:r>
        <w:t xml:space="preserve">CPT codes most frequently subject to prior authorization. </w:t>
      </w:r>
    </w:p>
    <w:p w14:paraId="1C497D28" w14:textId="228196F7" w:rsidR="003E6ABC" w:rsidRPr="00B915A7" w:rsidRDefault="003E6ABC" w:rsidP="003E6ABC">
      <w:r>
        <w:t xml:space="preserve">Plans </w:t>
      </w:r>
      <w:r w:rsidR="0075597D">
        <w:t>are</w:t>
      </w:r>
      <w:r>
        <w:t xml:space="preserve"> subject to the new requirements beginning September 1, 2027</w:t>
      </w:r>
      <w:r w:rsidR="00BA034A">
        <w:t>.</w:t>
      </w:r>
      <w:r w:rsidR="00735339">
        <w:t xml:space="preserve"> The</w:t>
      </w:r>
      <w:r w:rsidR="00AC3B7F">
        <w:t xml:space="preserve"> Budget</w:t>
      </w:r>
      <w:r w:rsidR="00735339">
        <w:t xml:space="preserve"> additionally limits prior authorization review for chronic conditions to no more than once per year following an approved </w:t>
      </w:r>
      <w:r w:rsidR="002722F2">
        <w:t xml:space="preserve">outpatient </w:t>
      </w:r>
      <w:r w:rsidR="00735339">
        <w:t>course of treatment</w:t>
      </w:r>
      <w:r w:rsidR="00657E85">
        <w:t xml:space="preserve"> and requires plans to increase transparency around prescription drug formularies.</w:t>
      </w:r>
      <w:r w:rsidR="00BC34DD">
        <w:t xml:space="preserve"> </w:t>
      </w:r>
      <w:r w:rsidR="00BA034A">
        <w:t xml:space="preserve">The continuity-of-care period for new enrollees whose provider is out-of-network </w:t>
      </w:r>
      <w:r w:rsidR="00BC34DD">
        <w:t xml:space="preserve">is extended </w:t>
      </w:r>
      <w:r w:rsidR="00BA034A">
        <w:t xml:space="preserve">from 60 days to 90 days and protections for pregnant individuals </w:t>
      </w:r>
      <w:r w:rsidR="001F1D07">
        <w:t xml:space="preserve">are expanded </w:t>
      </w:r>
      <w:r w:rsidR="00B30D1E">
        <w:t>[</w:t>
      </w:r>
      <w:r w:rsidR="000E270A">
        <w:t>Transportation, Economic Development, and Environmental Conservation (</w:t>
      </w:r>
      <w:r w:rsidR="00B30D1E">
        <w:t>TED</w:t>
      </w:r>
      <w:r w:rsidR="000E270A">
        <w:t>)</w:t>
      </w:r>
      <w:r w:rsidR="00B30D1E">
        <w:t>, Part HH].</w:t>
      </w:r>
    </w:p>
    <w:p w14:paraId="3B1828D6" w14:textId="28E35E87" w:rsidR="007B40B7" w:rsidRDefault="00F51037" w:rsidP="007B40B7">
      <w:pPr>
        <w:pStyle w:val="Heading1"/>
      </w:pPr>
      <w:bookmarkStart w:id="20" w:name="_Toc188443890"/>
      <w:bookmarkStart w:id="21" w:name="_Toc188444022"/>
      <w:bookmarkStart w:id="22" w:name="_Toc230853664"/>
      <w:r>
        <w:t>Hospitals</w:t>
      </w:r>
      <w:bookmarkEnd w:id="20"/>
      <w:bookmarkEnd w:id="21"/>
      <w:bookmarkEnd w:id="22"/>
    </w:p>
    <w:p w14:paraId="2A10699B" w14:textId="637F7AEB" w:rsidR="00B56418" w:rsidRDefault="00B56418" w:rsidP="00B56418">
      <w:pPr>
        <w:pStyle w:val="Heading2"/>
      </w:pPr>
      <w:bookmarkStart w:id="23" w:name="_Toc230853665"/>
      <w:r>
        <w:t>Funding for Financially Distressed Hospitals</w:t>
      </w:r>
      <w:bookmarkEnd w:id="23"/>
    </w:p>
    <w:p w14:paraId="5B4986F3" w14:textId="3B76432C" w:rsidR="00B56418" w:rsidRPr="00B56418" w:rsidRDefault="00B56418" w:rsidP="00FE520C">
      <w:r>
        <w:t>The Budget includes $500 million in funding for FY 2027 for financially distressed hospitals through the hospital VAPAP</w:t>
      </w:r>
      <w:r w:rsidR="008B10ED">
        <w:t xml:space="preserve"> [Budget Scorecard].</w:t>
      </w:r>
    </w:p>
    <w:p w14:paraId="3F74D7FD" w14:textId="68F5DC7A" w:rsidR="000B45E5" w:rsidRPr="000B45E5" w:rsidRDefault="00C35722" w:rsidP="000B45E5">
      <w:pPr>
        <w:pStyle w:val="Heading2"/>
      </w:pPr>
      <w:bookmarkStart w:id="24" w:name="_Toc230853666"/>
      <w:r>
        <w:t>Omitted Proposals</w:t>
      </w:r>
      <w:bookmarkEnd w:id="24"/>
    </w:p>
    <w:p w14:paraId="73F985E6" w14:textId="77777777" w:rsidR="00444902" w:rsidRDefault="00F51037" w:rsidP="00F51037">
      <w:r>
        <w:t>The Budget</w:t>
      </w:r>
      <w:r w:rsidR="00C35722">
        <w:t xml:space="preserve"> </w:t>
      </w:r>
      <w:r w:rsidR="00444902">
        <w:t xml:space="preserve">omits </w:t>
      </w:r>
      <w:r w:rsidR="00C35722">
        <w:t xml:space="preserve">the </w:t>
      </w:r>
      <w:r w:rsidR="00444902">
        <w:t>following Executive</w:t>
      </w:r>
      <w:r w:rsidR="00630A19">
        <w:t xml:space="preserve"> proposal</w:t>
      </w:r>
      <w:r w:rsidR="00444902">
        <w:t>s:</w:t>
      </w:r>
    </w:p>
    <w:p w14:paraId="4B096803" w14:textId="0DCB4259" w:rsidR="00297BDA" w:rsidRDefault="00444902" w:rsidP="00444902">
      <w:pPr>
        <w:pStyle w:val="ListParagraph"/>
        <w:numPr>
          <w:ilvl w:val="0"/>
          <w:numId w:val="32"/>
        </w:numPr>
      </w:pPr>
      <w:r>
        <w:t xml:space="preserve">Codifying </w:t>
      </w:r>
      <w:r w:rsidR="00DB2E13">
        <w:t xml:space="preserve">the federal “Acute Hospital Care at Home” demonstration program in state law, </w:t>
      </w:r>
      <w:r w:rsidR="001F7456">
        <w:t xml:space="preserve">which would </w:t>
      </w:r>
      <w:r w:rsidR="00441F22">
        <w:t>have permitted</w:t>
      </w:r>
      <w:r w:rsidR="001F7456">
        <w:t xml:space="preserve"> general hospitals to provide </w:t>
      </w:r>
      <w:r w:rsidR="009333EB">
        <w:t xml:space="preserve">acute </w:t>
      </w:r>
      <w:r w:rsidR="001F7456">
        <w:t>care in patien</w:t>
      </w:r>
      <w:r w:rsidR="00297BDA">
        <w:t>t homes</w:t>
      </w:r>
      <w:r w:rsidR="00132990">
        <w:t xml:space="preserve">; and </w:t>
      </w:r>
    </w:p>
    <w:p w14:paraId="73398E84" w14:textId="0BFA91B4" w:rsidR="00132990" w:rsidRDefault="00132990" w:rsidP="00444902">
      <w:pPr>
        <w:pStyle w:val="ListParagraph"/>
        <w:numPr>
          <w:ilvl w:val="0"/>
          <w:numId w:val="32"/>
        </w:numPr>
      </w:pPr>
      <w:r>
        <w:t>Extending the timeframe of the “cooling off”</w:t>
      </w:r>
      <w:r w:rsidR="00FA59DC">
        <w:t xml:space="preserve"> period</w:t>
      </w:r>
      <w:r>
        <w:t>, in which managed care plans and hospitals must continue to operate under an existing contract following its termination, from two months to 120 days.</w:t>
      </w:r>
    </w:p>
    <w:p w14:paraId="6FCBCB40" w14:textId="78415028" w:rsidR="002D0033" w:rsidRDefault="002D0033" w:rsidP="00636AA1">
      <w:pPr>
        <w:pStyle w:val="Heading1"/>
      </w:pPr>
      <w:bookmarkStart w:id="25" w:name="_Toc230853667"/>
      <w:r>
        <w:t>Long Term Care</w:t>
      </w:r>
      <w:bookmarkEnd w:id="25"/>
    </w:p>
    <w:p w14:paraId="713548AF" w14:textId="77777777" w:rsidR="002D0033" w:rsidRDefault="002D0033" w:rsidP="002D0033">
      <w:pPr>
        <w:pStyle w:val="Heading2"/>
      </w:pPr>
      <w:bookmarkStart w:id="26" w:name="_Toc230853668"/>
      <w:r>
        <w:t>Nursing Home Capital Reduction</w:t>
      </w:r>
      <w:bookmarkEnd w:id="26"/>
    </w:p>
    <w:p w14:paraId="0F5373A2" w14:textId="40EF449A" w:rsidR="006E5562" w:rsidRPr="006E5562" w:rsidRDefault="006E5562" w:rsidP="00CA1FC1">
      <w:r w:rsidRPr="006E5562">
        <w:t xml:space="preserve">The capital add-on component of skilled nursing facility (SNF) rates was decreased by 5% in FY 2021 and an additional 10% in FY 2025. This Budget </w:t>
      </w:r>
      <w:r>
        <w:t>includes the Executive Proposal to</w:t>
      </w:r>
      <w:r w:rsidRPr="006E5562">
        <w:t xml:space="preserve"> sunset the additional 10% reduction enacted in FY 2025</w:t>
      </w:r>
      <w:r w:rsidR="006A5203">
        <w:t>, leaving only the 5% rate reduction in effect</w:t>
      </w:r>
      <w:r w:rsidRPr="006E5562">
        <w:t xml:space="preserve"> [HMH, Part L].</w:t>
      </w:r>
    </w:p>
    <w:p w14:paraId="5F8D8574" w14:textId="28EC610A" w:rsidR="0090349C" w:rsidRDefault="0090349C" w:rsidP="0090349C">
      <w:pPr>
        <w:pStyle w:val="Heading2"/>
      </w:pPr>
      <w:bookmarkStart w:id="27" w:name="_Toc230853669"/>
      <w:r>
        <w:lastRenderedPageBreak/>
        <w:t>Personal Care Administrative Reimbursement</w:t>
      </w:r>
      <w:bookmarkEnd w:id="27"/>
      <w:r>
        <w:t xml:space="preserve"> </w:t>
      </w:r>
    </w:p>
    <w:p w14:paraId="08E902AC" w14:textId="49FBDAB4" w:rsidR="0090349C" w:rsidRDefault="0090349C" w:rsidP="0090349C">
      <w:r>
        <w:t xml:space="preserve">The Budget </w:t>
      </w:r>
      <w:r w:rsidR="0070778B">
        <w:t>will</w:t>
      </w:r>
      <w:r>
        <w:t xml:space="preserve"> limit the personal care fee-for-service administrative reimbursement rate at 15% of total costs and normalize the direct care component of rates</w:t>
      </w:r>
      <w:r w:rsidR="00A81061">
        <w:t>. The State anticipates $7.5 million in savings in FY 2027</w:t>
      </w:r>
      <w:r w:rsidR="00A02970">
        <w:t xml:space="preserve"> from this initiative</w:t>
      </w:r>
      <w:r>
        <w:t xml:space="preserve"> [</w:t>
      </w:r>
      <w:r w:rsidR="002E5DD0">
        <w:t>Budget Scorecard].</w:t>
      </w:r>
    </w:p>
    <w:p w14:paraId="78730A19" w14:textId="6EED238F" w:rsidR="006715CC" w:rsidRDefault="006715CC" w:rsidP="006715CC">
      <w:pPr>
        <w:pStyle w:val="Heading2"/>
      </w:pPr>
      <w:bookmarkStart w:id="28" w:name="_Toc230853670"/>
      <w:r>
        <w:t>Reinvesting Nursing Home VAPAP Funds</w:t>
      </w:r>
      <w:bookmarkEnd w:id="28"/>
    </w:p>
    <w:p w14:paraId="153CAB17" w14:textId="4D1CD634" w:rsidR="005A7AD3" w:rsidRDefault="006715CC" w:rsidP="006715CC">
      <w:r>
        <w:t xml:space="preserve">The Budget </w:t>
      </w:r>
      <w:r w:rsidR="003A039B">
        <w:t>will</w:t>
      </w:r>
      <w:r>
        <w:t xml:space="preserve"> reduce the Nursing Home Vital Access Provider Assurance Program (VAPAP) pool</w:t>
      </w:r>
      <w:r w:rsidR="00676EE5">
        <w:t xml:space="preserve">, resulting in $20 million in state savings in FY 2027 </w:t>
      </w:r>
      <w:r w:rsidR="00A160D3">
        <w:t>[</w:t>
      </w:r>
      <w:r w:rsidR="0070778B">
        <w:t>Budget Scorecard</w:t>
      </w:r>
      <w:r w:rsidR="00676EE5">
        <w:t>].</w:t>
      </w:r>
    </w:p>
    <w:p w14:paraId="54C03D08" w14:textId="14101A2F" w:rsidR="00EE0E98" w:rsidRPr="00EE0E98" w:rsidRDefault="00EE0E98" w:rsidP="00EE0E98">
      <w:pPr>
        <w:pStyle w:val="Heading2"/>
      </w:pPr>
      <w:bookmarkStart w:id="29" w:name="_Toc230853671"/>
      <w:r>
        <w:t>Omitted Proposals</w:t>
      </w:r>
      <w:bookmarkEnd w:id="29"/>
    </w:p>
    <w:p w14:paraId="5D5FA0E7" w14:textId="77777777" w:rsidR="009B5FB3" w:rsidRDefault="00EE0E98" w:rsidP="00EE0E98">
      <w:r>
        <w:t xml:space="preserve">The Enacted Budget does </w:t>
      </w:r>
      <w:r w:rsidRPr="005A0362">
        <w:rPr>
          <w:b/>
          <w:bCs/>
          <w:u w:val="single"/>
        </w:rPr>
        <w:t>not</w:t>
      </w:r>
      <w:r>
        <w:t xml:space="preserve"> include the Executive proposal</w:t>
      </w:r>
      <w:r w:rsidR="009B5FB3">
        <w:t>s</w:t>
      </w:r>
      <w:r>
        <w:t xml:space="preserve"> to</w:t>
      </w:r>
      <w:r w:rsidR="009B5FB3">
        <w:t>:</w:t>
      </w:r>
    </w:p>
    <w:p w14:paraId="5FA435C5" w14:textId="248C6639" w:rsidR="00EE0E98" w:rsidRDefault="009B5FB3" w:rsidP="009B5FB3">
      <w:pPr>
        <w:pStyle w:val="ListParagraph"/>
        <w:numPr>
          <w:ilvl w:val="0"/>
          <w:numId w:val="35"/>
        </w:numPr>
      </w:pPr>
      <w:r>
        <w:t>A</w:t>
      </w:r>
      <w:r w:rsidR="00EE0E98">
        <w:t>mend the premium</w:t>
      </w:r>
      <w:r w:rsidR="00507585">
        <w:t xml:space="preserve"> structure</w:t>
      </w:r>
      <w:r w:rsidR="00EE0E98">
        <w:t xml:space="preserve"> for the Medicaid Buy-In </w:t>
      </w:r>
      <w:r w:rsidR="00B77057">
        <w:t xml:space="preserve">program </w:t>
      </w:r>
      <w:r w:rsidR="00EE0E98">
        <w:t xml:space="preserve">for Working </w:t>
      </w:r>
      <w:r w:rsidR="00B77057">
        <w:t>People</w:t>
      </w:r>
      <w:r w:rsidR="00EE0E98">
        <w:t xml:space="preserve"> with Disabilities</w:t>
      </w:r>
      <w:r w:rsidR="006B0F7E">
        <w:t xml:space="preserve"> (MBI-WPD)</w:t>
      </w:r>
      <w:r>
        <w:t xml:space="preserve">; and </w:t>
      </w:r>
    </w:p>
    <w:p w14:paraId="0FBCB3E4" w14:textId="6D160080" w:rsidR="009B5FB3" w:rsidRPr="00EE0E98" w:rsidRDefault="009B5FB3" w:rsidP="009B5FB3">
      <w:pPr>
        <w:pStyle w:val="ListParagraph"/>
        <w:numPr>
          <w:ilvl w:val="0"/>
          <w:numId w:val="35"/>
        </w:numPr>
      </w:pPr>
      <w:r>
        <w:t>Eliminate the Adult Home Advocacy and Adult Home Resident Council programs.</w:t>
      </w:r>
    </w:p>
    <w:p w14:paraId="5496A1E5" w14:textId="7ED369E9" w:rsidR="000B20E4" w:rsidRDefault="001548D9" w:rsidP="000B20E4">
      <w:pPr>
        <w:pStyle w:val="Heading1"/>
      </w:pPr>
      <w:bookmarkStart w:id="30" w:name="_Toc188443901"/>
      <w:bookmarkStart w:id="31" w:name="_Toc188444033"/>
      <w:bookmarkStart w:id="32" w:name="_Toc230853672"/>
      <w:r>
        <w:t>Workforce</w:t>
      </w:r>
      <w:bookmarkEnd w:id="30"/>
      <w:bookmarkEnd w:id="31"/>
      <w:bookmarkEnd w:id="32"/>
    </w:p>
    <w:p w14:paraId="3BEEF99F" w14:textId="77777777" w:rsidR="001B6E99" w:rsidRDefault="001B6E99" w:rsidP="001B6E99">
      <w:pPr>
        <w:pStyle w:val="Heading2"/>
      </w:pPr>
      <w:bookmarkStart w:id="33" w:name="_Toc230853673"/>
      <w:bookmarkStart w:id="34" w:name="_Toc188443902"/>
      <w:bookmarkStart w:id="35" w:name="_Toc188444034"/>
      <w:r>
        <w:t>Temporary Staffing Agencies</w:t>
      </w:r>
      <w:bookmarkEnd w:id="33"/>
      <w:r>
        <w:t xml:space="preserve"> </w:t>
      </w:r>
    </w:p>
    <w:p w14:paraId="693BF33A" w14:textId="7DCFCD69" w:rsidR="001B6E99" w:rsidRDefault="001B6E99" w:rsidP="0030315F">
      <w:r>
        <w:t>The Budget includes</w:t>
      </w:r>
      <w:r w:rsidR="00941CA0">
        <w:t>, with modifications,</w:t>
      </w:r>
      <w:r>
        <w:t xml:space="preserve"> </w:t>
      </w:r>
      <w:r w:rsidR="008A1FEB">
        <w:t xml:space="preserve">the Executive </w:t>
      </w:r>
      <w:r>
        <w:t xml:space="preserve">proposal to strengthen oversight of temporary health care staffing agencies, </w:t>
      </w:r>
      <w:r w:rsidR="004971CA">
        <w:t>expanded to explicitly include</w:t>
      </w:r>
      <w:r>
        <w:t xml:space="preserve"> subcontracting and vendor management arrangements</w:t>
      </w:r>
      <w:r w:rsidR="004971CA">
        <w:t xml:space="preserve"> in which agencies “connect” individuals who are not its employees with health care entities</w:t>
      </w:r>
      <w:r w:rsidR="00CE0569">
        <w:t xml:space="preserve">. The </w:t>
      </w:r>
      <w:r w:rsidR="00ED158E">
        <w:t>provision</w:t>
      </w:r>
      <w:r>
        <w:t xml:space="preserve"> </w:t>
      </w:r>
      <w:r w:rsidR="00CE0569">
        <w:t>revises</w:t>
      </w:r>
      <w:r>
        <w:t xml:space="preserve"> reporting and record-keeping requirements and </w:t>
      </w:r>
      <w:r w:rsidR="00333A82">
        <w:t>authorizes</w:t>
      </w:r>
      <w:r>
        <w:t xml:space="preserve"> DOH to establish and enforce limits on agency profits</w:t>
      </w:r>
      <w:r w:rsidR="00934403">
        <w:t>. Agencies are prohibited from requiring individuals to pay fees or other compensation for placement or connection with a health care entity</w:t>
      </w:r>
      <w:r w:rsidR="009A33FF">
        <w:t xml:space="preserve"> </w:t>
      </w:r>
      <w:r>
        <w:t xml:space="preserve">[HMH, Part J]. </w:t>
      </w:r>
      <w:bookmarkEnd w:id="34"/>
      <w:bookmarkEnd w:id="35"/>
    </w:p>
    <w:p w14:paraId="6F4B19A5" w14:textId="584B9BB6" w:rsidR="00467B89" w:rsidRDefault="00467B89" w:rsidP="00467B89">
      <w:pPr>
        <w:pStyle w:val="Heading2"/>
      </w:pPr>
      <w:bookmarkStart w:id="36" w:name="_Toc230853674"/>
      <w:r>
        <w:t>Omitted Proposals</w:t>
      </w:r>
      <w:bookmarkEnd w:id="36"/>
    </w:p>
    <w:p w14:paraId="3AC2554B" w14:textId="25E84CB9" w:rsidR="00467B89" w:rsidRPr="00467B89" w:rsidRDefault="00467B89" w:rsidP="00467B89">
      <w:r>
        <w:t xml:space="preserve">The Enacted Budget </w:t>
      </w:r>
      <w:r w:rsidR="00D7346D">
        <w:t>omits</w:t>
      </w:r>
      <w:r>
        <w:t xml:space="preserve"> the remaining Executive </w:t>
      </w:r>
      <w:r w:rsidR="00743FE1">
        <w:t>proposals</w:t>
      </w:r>
      <w:r>
        <w:t xml:space="preserve"> related to workfo</w:t>
      </w:r>
      <w:r w:rsidR="00743FE1">
        <w:t>r</w:t>
      </w:r>
      <w:r>
        <w:t xml:space="preserve">ce, including: </w:t>
      </w:r>
    </w:p>
    <w:p w14:paraId="5E8768C0" w14:textId="39A9A3C6" w:rsidR="00467B89" w:rsidRDefault="00743FE1" w:rsidP="00743FE1">
      <w:pPr>
        <w:pStyle w:val="ListParagraph"/>
        <w:numPr>
          <w:ilvl w:val="0"/>
          <w:numId w:val="34"/>
        </w:numPr>
      </w:pPr>
      <w:r>
        <w:t>Expanding scope of practice for physician assistants, medical assistants, certified medication aides, and qualified health care providers</w:t>
      </w:r>
      <w:r w:rsidR="000931CD">
        <w:t xml:space="preserve">; and </w:t>
      </w:r>
    </w:p>
    <w:p w14:paraId="6B5E122A" w14:textId="6F00B815" w:rsidR="000931CD" w:rsidRDefault="000931CD" w:rsidP="00743FE1">
      <w:pPr>
        <w:pStyle w:val="ListParagraph"/>
        <w:numPr>
          <w:ilvl w:val="0"/>
          <w:numId w:val="34"/>
        </w:numPr>
      </w:pPr>
      <w:r>
        <w:t>Transferring licensing and oversight of physicians, physician assistants, and specialist assistants from the State Education Department (SED) to the Department of Health (DOH).</w:t>
      </w:r>
    </w:p>
    <w:p w14:paraId="4A25FC08" w14:textId="77777777" w:rsidR="00E738CC" w:rsidRDefault="00E738CC" w:rsidP="00F96716">
      <w:pPr>
        <w:pStyle w:val="Heading1"/>
      </w:pPr>
      <w:bookmarkStart w:id="37" w:name="_Toc188443910"/>
      <w:bookmarkStart w:id="38" w:name="_Toc188444042"/>
      <w:bookmarkStart w:id="39" w:name="_Toc230853675"/>
    </w:p>
    <w:p w14:paraId="452DFC48" w14:textId="5179D67B" w:rsidR="00F96716" w:rsidRDefault="00861FC6" w:rsidP="00F96716">
      <w:pPr>
        <w:pStyle w:val="Heading1"/>
      </w:pPr>
      <w:r>
        <w:lastRenderedPageBreak/>
        <w:t xml:space="preserve">Investor-Backed </w:t>
      </w:r>
      <w:r w:rsidR="00F96716">
        <w:t>Health Care Transactions</w:t>
      </w:r>
      <w:bookmarkEnd w:id="37"/>
      <w:bookmarkEnd w:id="38"/>
      <w:bookmarkEnd w:id="39"/>
    </w:p>
    <w:p w14:paraId="7D6D6854" w14:textId="1D9BC9F3" w:rsidR="00F96716" w:rsidRDefault="00340A95" w:rsidP="00F96716">
      <w:r>
        <w:t>The</w:t>
      </w:r>
      <w:r w:rsidR="00F82578">
        <w:t xml:space="preserve"> </w:t>
      </w:r>
      <w:r w:rsidR="00237FB4">
        <w:t xml:space="preserve">Enacted Budget </w:t>
      </w:r>
      <w:r w:rsidR="00237FB4" w:rsidRPr="00237FB4">
        <w:rPr>
          <w:b/>
          <w:bCs/>
          <w:u w:val="single"/>
        </w:rPr>
        <w:t>omits</w:t>
      </w:r>
      <w:r w:rsidR="00237FB4">
        <w:t xml:space="preserve"> the </w:t>
      </w:r>
      <w:r w:rsidR="00F82578" w:rsidRPr="00237FB4">
        <w:t>Executive</w:t>
      </w:r>
      <w:r w:rsidR="00F82578">
        <w:t xml:space="preserve"> </w:t>
      </w:r>
      <w:r>
        <w:t>proposal to</w:t>
      </w:r>
      <w:r w:rsidR="00FE7B89">
        <w:t xml:space="preserve"> </w:t>
      </w:r>
      <w:r>
        <w:t>build on the requirements for material transactions implemented in the 2023-24 Enacted NYS Budget</w:t>
      </w:r>
      <w:r w:rsidR="005F1541">
        <w:t>.</w:t>
      </w:r>
    </w:p>
    <w:p w14:paraId="0851ABB7" w14:textId="76FE24EF" w:rsidR="007A70C7" w:rsidRDefault="00884EDA" w:rsidP="007A70C7">
      <w:pPr>
        <w:pStyle w:val="Heading1"/>
      </w:pPr>
      <w:bookmarkStart w:id="40" w:name="_Toc188443914"/>
      <w:bookmarkStart w:id="41" w:name="_Toc188444046"/>
      <w:bookmarkStart w:id="42" w:name="_Toc230853676"/>
      <w:r>
        <w:t>Behavioral</w:t>
      </w:r>
      <w:r w:rsidR="007A70C7">
        <w:t xml:space="preserve"> Health</w:t>
      </w:r>
      <w:bookmarkEnd w:id="40"/>
      <w:bookmarkEnd w:id="41"/>
      <w:bookmarkEnd w:id="42"/>
    </w:p>
    <w:p w14:paraId="4BD795B5" w14:textId="3092B487" w:rsidR="00C75E2E" w:rsidRDefault="00EC6E1C" w:rsidP="00EC6E1C">
      <w:pPr>
        <w:pStyle w:val="Heading2"/>
      </w:pPr>
      <w:bookmarkStart w:id="43" w:name="_Toc188443917"/>
      <w:bookmarkStart w:id="44" w:name="_Toc188444049"/>
      <w:bookmarkStart w:id="45" w:name="_Toc230853677"/>
      <w:bookmarkEnd w:id="4"/>
      <w:bookmarkEnd w:id="5"/>
      <w:r>
        <w:t>Targeted Inflationary Increase</w:t>
      </w:r>
      <w:bookmarkEnd w:id="43"/>
      <w:bookmarkEnd w:id="44"/>
      <w:bookmarkEnd w:id="45"/>
      <w:r>
        <w:t xml:space="preserve"> </w:t>
      </w:r>
    </w:p>
    <w:p w14:paraId="33F39DEF" w14:textId="2924FC45" w:rsidR="00D455D0" w:rsidRDefault="00EC6E1C" w:rsidP="00097DB8">
      <w:r>
        <w:t xml:space="preserve">The Budget </w:t>
      </w:r>
      <w:r w:rsidR="00027CC4">
        <w:t>includes the customary</w:t>
      </w:r>
      <w:r>
        <w:t xml:space="preserve"> one-time “Targeted Inflationary Increase” at a rate of </w:t>
      </w:r>
      <w:r w:rsidR="00D455D0">
        <w:t>2</w:t>
      </w:r>
      <w:r w:rsidR="00027CC4">
        <w:t>.7</w:t>
      </w:r>
      <w:r w:rsidR="00D455D0">
        <w:t xml:space="preserve"> percent (up from 1.7 percent as proposed by the Executive) </w:t>
      </w:r>
      <w:r>
        <w:t>for eligible mental hygiene and other human services program</w:t>
      </w:r>
      <w:r w:rsidR="00854942">
        <w:t>s</w:t>
      </w:r>
      <w:r w:rsidR="00204DBC">
        <w:t xml:space="preserve"> for FY 202</w:t>
      </w:r>
      <w:r w:rsidR="00851631">
        <w:t>7</w:t>
      </w:r>
      <w:r w:rsidR="00204DBC">
        <w:t xml:space="preserve">. </w:t>
      </w:r>
      <w:r w:rsidR="0070548E">
        <w:t>Eligible programs include those funded, licensed, or certified by OMH, OASAS, OCFS, OTDA, and SOFA</w:t>
      </w:r>
      <w:r w:rsidR="002C325A">
        <w:t xml:space="preserve"> </w:t>
      </w:r>
      <w:r w:rsidR="0070548E">
        <w:t xml:space="preserve">[HMH, Part </w:t>
      </w:r>
      <w:r w:rsidR="002C325A">
        <w:t>P</w:t>
      </w:r>
      <w:r w:rsidR="0070548E">
        <w:t>].</w:t>
      </w:r>
    </w:p>
    <w:p w14:paraId="0ED28E72" w14:textId="389C7217" w:rsidR="003244B8" w:rsidRDefault="009B5400" w:rsidP="009B5400">
      <w:pPr>
        <w:pStyle w:val="Heading2"/>
      </w:pPr>
      <w:bookmarkStart w:id="46" w:name="_Toc230853678"/>
      <w:r>
        <w:t>Gambling Addiction Insurance Coverage</w:t>
      </w:r>
      <w:bookmarkEnd w:id="46"/>
      <w:r>
        <w:t xml:space="preserve"> </w:t>
      </w:r>
    </w:p>
    <w:p w14:paraId="70E17EF0" w14:textId="21B279BB" w:rsidR="007E60D8" w:rsidRDefault="009B5400" w:rsidP="00DF62C8">
      <w:r>
        <w:t xml:space="preserve">The Budget </w:t>
      </w:r>
      <w:r w:rsidR="00D21CF6">
        <w:t xml:space="preserve">includes the Executive </w:t>
      </w:r>
      <w:r w:rsidR="00B61846">
        <w:t>p</w:t>
      </w:r>
      <w:r w:rsidR="00D21CF6">
        <w:t>roposal amending</w:t>
      </w:r>
      <w:r>
        <w:t xml:space="preserve"> various provisions of the insurance law to replace “substance use disorder” with “substance-related and addictive disorder” to ensure that patients with gambling disorders receive the same</w:t>
      </w:r>
      <w:r w:rsidR="009F4014">
        <w:t xml:space="preserve"> insurance</w:t>
      </w:r>
      <w:r>
        <w:t xml:space="preserve"> coverage and protections</w:t>
      </w:r>
      <w:r w:rsidR="00D03BAC">
        <w:t xml:space="preserve"> as individuals with substance use disorders</w:t>
      </w:r>
      <w:r w:rsidR="00B635D4">
        <w:t xml:space="preserve"> [HMH, Part R].</w:t>
      </w:r>
    </w:p>
    <w:p w14:paraId="62A1E581" w14:textId="2C269ACA" w:rsidR="00B61846" w:rsidRDefault="00B61846" w:rsidP="00B61846">
      <w:pPr>
        <w:pStyle w:val="Heading2"/>
      </w:pPr>
      <w:bookmarkStart w:id="47" w:name="_Toc230853679"/>
      <w:r>
        <w:t>APG Rates</w:t>
      </w:r>
      <w:bookmarkEnd w:id="47"/>
      <w:r>
        <w:t xml:space="preserve"> </w:t>
      </w:r>
    </w:p>
    <w:p w14:paraId="6C07DB2B" w14:textId="11BE5742" w:rsidR="00B61846" w:rsidRPr="00B61846" w:rsidRDefault="00B61846" w:rsidP="00B61846">
      <w:r>
        <w:t xml:space="preserve">The Budget includes the Executive proposal </w:t>
      </w:r>
      <w:r w:rsidR="000E0F6B">
        <w:t>to extend the requirement that behavioral health services be reimbursed at Ambulatory Patient Group (APG) rates through FY 2031 [HMH, Part U].</w:t>
      </w:r>
    </w:p>
    <w:p w14:paraId="54471DAA" w14:textId="4BA9505E" w:rsidR="003B75D7" w:rsidRDefault="003B75D7" w:rsidP="003B75D7">
      <w:pPr>
        <w:pStyle w:val="Heading2"/>
      </w:pPr>
      <w:bookmarkStart w:id="48" w:name="_Toc230853680"/>
      <w:r>
        <w:t>Omitted Proposals</w:t>
      </w:r>
      <w:bookmarkEnd w:id="48"/>
    </w:p>
    <w:p w14:paraId="0E947AA2" w14:textId="3EEADFF4" w:rsidR="003B75D7" w:rsidRPr="003B75D7" w:rsidRDefault="003B75D7" w:rsidP="003B75D7">
      <w:r>
        <w:t>The Budget omits the Executive Proposal that would have authorized the Office of Mental Health (OMH) and Office of Addiction Services and Supports (OASAS) to issue a joint license to providers who deliver both mental health and addiction services</w:t>
      </w:r>
      <w:r w:rsidR="008E6863">
        <w:t>.</w:t>
      </w:r>
    </w:p>
    <w:p w14:paraId="338239DA" w14:textId="1A6A8EC3" w:rsidR="004E06B5" w:rsidRDefault="005C02EF" w:rsidP="004E06B5">
      <w:pPr>
        <w:pStyle w:val="Heading1"/>
      </w:pPr>
      <w:bookmarkStart w:id="49" w:name="_Toc188443928"/>
      <w:bookmarkStart w:id="50" w:name="_Toc188444060"/>
      <w:bookmarkStart w:id="51" w:name="_Toc230853681"/>
      <w:r>
        <w:t>Emergency Services</w:t>
      </w:r>
      <w:bookmarkEnd w:id="49"/>
      <w:bookmarkEnd w:id="50"/>
      <w:bookmarkEnd w:id="51"/>
    </w:p>
    <w:p w14:paraId="15185CEA" w14:textId="568B7551" w:rsidR="00B867BE" w:rsidRDefault="005A7AD3" w:rsidP="00B867BE">
      <w:pPr>
        <w:pStyle w:val="Heading2"/>
      </w:pPr>
      <w:bookmarkStart w:id="52" w:name="_Toc230853682"/>
      <w:r>
        <w:t>Cardiac Emergencies</w:t>
      </w:r>
      <w:bookmarkEnd w:id="52"/>
    </w:p>
    <w:p w14:paraId="1EE7F96D" w14:textId="3475FA72" w:rsidR="00B867BE" w:rsidRDefault="00B867BE" w:rsidP="00B867BE">
      <w:r>
        <w:t xml:space="preserve">The Budget includes </w:t>
      </w:r>
      <w:r w:rsidR="00A3157C">
        <w:t>the Executive</w:t>
      </w:r>
      <w:r>
        <w:t xml:space="preserve"> proposal to update New York’s automated external defibrillator (AED) law to:</w:t>
      </w:r>
    </w:p>
    <w:p w14:paraId="4A0EC558" w14:textId="28A432A2" w:rsidR="00B867BE" w:rsidRDefault="00B867BE" w:rsidP="00B867BE">
      <w:pPr>
        <w:pStyle w:val="ListParagraph"/>
        <w:numPr>
          <w:ilvl w:val="0"/>
          <w:numId w:val="20"/>
        </w:numPr>
      </w:pPr>
      <w:r>
        <w:t xml:space="preserve">Modernize definitions in line with technological advancements; </w:t>
      </w:r>
    </w:p>
    <w:p w14:paraId="084FAB1E" w14:textId="58D4C6C2" w:rsidR="00D92DF0" w:rsidRDefault="0010143F" w:rsidP="00B867BE">
      <w:pPr>
        <w:pStyle w:val="ListParagraph"/>
        <w:numPr>
          <w:ilvl w:val="0"/>
          <w:numId w:val="20"/>
        </w:numPr>
      </w:pPr>
      <w:r>
        <w:t>Revise</w:t>
      </w:r>
      <w:r w:rsidR="00D92DF0">
        <w:t xml:space="preserve"> training</w:t>
      </w:r>
      <w:r w:rsidR="00DA4089">
        <w:t xml:space="preserve">, registration, and </w:t>
      </w:r>
      <w:r w:rsidR="00D92DF0">
        <w:t xml:space="preserve">reporting requirements; </w:t>
      </w:r>
    </w:p>
    <w:p w14:paraId="6A057C4C" w14:textId="173A0FE2" w:rsidR="00B867BE" w:rsidRDefault="00B867BE" w:rsidP="00B867BE">
      <w:pPr>
        <w:pStyle w:val="ListParagraph"/>
        <w:numPr>
          <w:ilvl w:val="0"/>
          <w:numId w:val="20"/>
        </w:numPr>
      </w:pPr>
      <w:r>
        <w:lastRenderedPageBreak/>
        <w:t xml:space="preserve">Remove the requirement that providers enter into collaborative agreements with an emergency health care provider prior to purchasing and operating an AED; </w:t>
      </w:r>
      <w:r w:rsidR="00D02E21">
        <w:t>and</w:t>
      </w:r>
    </w:p>
    <w:p w14:paraId="2856555D" w14:textId="77777777" w:rsidR="007F722C" w:rsidRDefault="00B867BE" w:rsidP="003119AC">
      <w:pPr>
        <w:pStyle w:val="ListParagraph"/>
        <w:numPr>
          <w:ilvl w:val="0"/>
          <w:numId w:val="20"/>
        </w:numPr>
      </w:pPr>
      <w:r>
        <w:t>Centralize</w:t>
      </w:r>
      <w:r w:rsidR="00D92DF0">
        <w:t xml:space="preserve"> </w:t>
      </w:r>
      <w:r>
        <w:t>oversight within DOH</w:t>
      </w:r>
      <w:r w:rsidR="00D92DF0">
        <w:t>, including statewide registration of AED location</w:t>
      </w:r>
      <w:r w:rsidR="00D02E21">
        <w:t>s</w:t>
      </w:r>
      <w:r w:rsidR="007F722C">
        <w:t>.</w:t>
      </w:r>
    </w:p>
    <w:p w14:paraId="5B7A0F3E" w14:textId="07A0909C" w:rsidR="003119AC" w:rsidRDefault="003119AC" w:rsidP="007F722C">
      <w:r>
        <w:t xml:space="preserve">The </w:t>
      </w:r>
      <w:r w:rsidR="00144196">
        <w:t xml:space="preserve">final Budget also includes </w:t>
      </w:r>
      <w:r w:rsidR="00E57E1C">
        <w:t xml:space="preserve">a </w:t>
      </w:r>
      <w:r w:rsidR="00144196">
        <w:t>new provision requiring DOH to establish and maintain a public database of AED locations and types</w:t>
      </w:r>
      <w:r w:rsidR="007F722C">
        <w:t xml:space="preserve"> [HMH, Part G].</w:t>
      </w:r>
    </w:p>
    <w:p w14:paraId="235DBD5C" w14:textId="1CD60765" w:rsidR="004E158A" w:rsidRDefault="004E158A" w:rsidP="004E158A">
      <w:pPr>
        <w:pStyle w:val="Heading2"/>
      </w:pPr>
      <w:bookmarkStart w:id="53" w:name="_Toc230853683"/>
      <w:r>
        <w:t>Omitted Proposals</w:t>
      </w:r>
      <w:bookmarkEnd w:id="53"/>
    </w:p>
    <w:p w14:paraId="1BBE849B" w14:textId="77777777" w:rsidR="001A5BF0" w:rsidRDefault="004E158A" w:rsidP="004E158A">
      <w:r>
        <w:t xml:space="preserve">The Budget does </w:t>
      </w:r>
      <w:r w:rsidRPr="005A0362">
        <w:rPr>
          <w:b/>
          <w:bCs/>
          <w:u w:val="single"/>
        </w:rPr>
        <w:t>not</w:t>
      </w:r>
      <w:r>
        <w:t xml:space="preserve"> include the Governor’s proposals </w:t>
      </w:r>
      <w:r w:rsidR="00EC240C">
        <w:t>to</w:t>
      </w:r>
      <w:r w:rsidR="001A5BF0">
        <w:t>:</w:t>
      </w:r>
    </w:p>
    <w:p w14:paraId="24128609" w14:textId="6100A9CF" w:rsidR="001A5BF0" w:rsidRDefault="001A5BF0" w:rsidP="004E158A">
      <w:pPr>
        <w:pStyle w:val="ListParagraph"/>
        <w:numPr>
          <w:ilvl w:val="0"/>
          <w:numId w:val="30"/>
        </w:numPr>
      </w:pPr>
      <w:r>
        <w:t>A</w:t>
      </w:r>
      <w:r w:rsidR="004E158A">
        <w:t>uthorize EMS practitioners to administer immunizations pursuant to non-patient-specific regimens prescribed or ordered by a physician or nurse practitioner</w:t>
      </w:r>
      <w:r>
        <w:t xml:space="preserve">; and </w:t>
      </w:r>
    </w:p>
    <w:p w14:paraId="03C6C037" w14:textId="58413F0D" w:rsidR="004E158A" w:rsidRDefault="001A5BF0" w:rsidP="007F722C">
      <w:pPr>
        <w:pStyle w:val="ListParagraph"/>
        <w:numPr>
          <w:ilvl w:val="0"/>
          <w:numId w:val="30"/>
        </w:numPr>
      </w:pPr>
      <w:r>
        <w:t>E</w:t>
      </w:r>
      <w:r w:rsidR="004E158A">
        <w:t xml:space="preserve">xtend the authorization of existing community-based paramedicine programs and authorize DOH to expand the programs by allowing new applicants to apply to participate and existing participants to modify their current operations. </w:t>
      </w:r>
    </w:p>
    <w:p w14:paraId="009A5F82" w14:textId="77777777" w:rsidR="00794D65" w:rsidRPr="00D6564F" w:rsidRDefault="00794D65" w:rsidP="00794D65">
      <w:pPr>
        <w:pStyle w:val="Heading1"/>
      </w:pPr>
      <w:bookmarkStart w:id="54" w:name="_Toc188443929"/>
      <w:bookmarkStart w:id="55" w:name="_Toc188444061"/>
      <w:bookmarkStart w:id="56" w:name="_Toc230853684"/>
      <w:r>
        <w:t>State Agencies</w:t>
      </w:r>
      <w:bookmarkEnd w:id="54"/>
      <w:bookmarkEnd w:id="55"/>
      <w:bookmarkEnd w:id="56"/>
    </w:p>
    <w:p w14:paraId="3D4EA617" w14:textId="77777777" w:rsidR="00794D65" w:rsidRPr="00E52C9C" w:rsidRDefault="00794D65" w:rsidP="00794D65">
      <w:pPr>
        <w:pStyle w:val="Heading2"/>
      </w:pPr>
      <w:bookmarkStart w:id="57" w:name="_Toc188443930"/>
      <w:bookmarkStart w:id="58" w:name="_Toc188444062"/>
      <w:bookmarkStart w:id="59" w:name="_Toc230853685"/>
      <w:r w:rsidRPr="00E52C9C">
        <w:t>Department of Health (DOH)</w:t>
      </w:r>
      <w:bookmarkEnd w:id="57"/>
      <w:bookmarkEnd w:id="58"/>
      <w:bookmarkEnd w:id="59"/>
    </w:p>
    <w:p w14:paraId="0D468C1D" w14:textId="08234B49" w:rsidR="00794D65" w:rsidRPr="005E6AE4" w:rsidRDefault="00794D65" w:rsidP="00794D65">
      <w:r w:rsidRPr="00E52C9C">
        <w:t>The Budget allocates $1</w:t>
      </w:r>
      <w:r w:rsidR="000D6C5C">
        <w:t>47.2</w:t>
      </w:r>
      <w:r w:rsidRPr="00E52C9C">
        <w:t xml:space="preserve"> billion in All Funds appropriations for the Department of Health (DOH), </w:t>
      </w:r>
      <w:r w:rsidRPr="005E6AE4">
        <w:t xml:space="preserve">representing a </w:t>
      </w:r>
      <w:r w:rsidR="005912B4">
        <w:t>12</w:t>
      </w:r>
      <w:r w:rsidRPr="005E6AE4">
        <w:t>% increase from FY 202</w:t>
      </w:r>
      <w:r w:rsidR="005912B4">
        <w:t>6</w:t>
      </w:r>
      <w:r w:rsidRPr="005E6AE4">
        <w:t>, which includes:</w:t>
      </w:r>
    </w:p>
    <w:p w14:paraId="6679E59C" w14:textId="37A2E867" w:rsidR="00794D65" w:rsidRPr="005E6AE4" w:rsidRDefault="00794D65" w:rsidP="00794D65">
      <w:pPr>
        <w:pStyle w:val="ListParagraph"/>
        <w:numPr>
          <w:ilvl w:val="0"/>
          <w:numId w:val="18"/>
        </w:numPr>
      </w:pPr>
      <w:r w:rsidRPr="005E6AE4">
        <w:t>Aid to Localities: $</w:t>
      </w:r>
      <w:r w:rsidR="00E52C9C" w:rsidRPr="005E6AE4">
        <w:t>1</w:t>
      </w:r>
      <w:r w:rsidR="001E152A">
        <w:t>4</w:t>
      </w:r>
      <w:r w:rsidR="00102E3B">
        <w:t>2</w:t>
      </w:r>
      <w:r w:rsidR="001E152A">
        <w:t>.1</w:t>
      </w:r>
      <w:r w:rsidRPr="005E6AE4">
        <w:t xml:space="preserve"> billion [AtL </w:t>
      </w:r>
      <w:r w:rsidR="00D97740">
        <w:t>887</w:t>
      </w:r>
      <w:r w:rsidRPr="005E6AE4">
        <w:t>]</w:t>
      </w:r>
    </w:p>
    <w:p w14:paraId="6D6A90E6" w14:textId="642727EE" w:rsidR="00794D65" w:rsidRPr="005E6AE4" w:rsidRDefault="00794D65" w:rsidP="00794D65">
      <w:pPr>
        <w:pStyle w:val="ListParagraph"/>
        <w:numPr>
          <w:ilvl w:val="0"/>
          <w:numId w:val="18"/>
        </w:numPr>
      </w:pPr>
      <w:r w:rsidRPr="005E6AE4">
        <w:t>Capital Projects: $1.</w:t>
      </w:r>
      <w:r w:rsidR="00E52C9C" w:rsidRPr="005E6AE4">
        <w:t>42</w:t>
      </w:r>
      <w:r w:rsidRPr="005E6AE4">
        <w:t xml:space="preserve"> billion [Capital </w:t>
      </w:r>
      <w:r w:rsidR="001E152A">
        <w:t>456</w:t>
      </w:r>
      <w:r w:rsidRPr="005E6AE4">
        <w:t>]</w:t>
      </w:r>
    </w:p>
    <w:p w14:paraId="4D133229" w14:textId="38EAFE6F" w:rsidR="00E52C9C" w:rsidRPr="005E6AE4" w:rsidRDefault="00E52C9C" w:rsidP="00E52C9C">
      <w:pPr>
        <w:pStyle w:val="ListParagraph"/>
        <w:numPr>
          <w:ilvl w:val="0"/>
          <w:numId w:val="18"/>
        </w:numPr>
        <w:tabs>
          <w:tab w:val="left" w:pos="2250"/>
        </w:tabs>
        <w:spacing w:line="240" w:lineRule="auto"/>
      </w:pPr>
      <w:r w:rsidRPr="005E6AE4">
        <w:t xml:space="preserve">State Operations: $3.69 billion [State Ops </w:t>
      </w:r>
      <w:r w:rsidR="001E152A">
        <w:t>401</w:t>
      </w:r>
      <w:r w:rsidRPr="005E6AE4">
        <w:t>]</w:t>
      </w:r>
    </w:p>
    <w:p w14:paraId="29139F4C" w14:textId="13AC2BA4" w:rsidR="00E52C9C" w:rsidRPr="00E52C9C" w:rsidRDefault="00794D65" w:rsidP="0099582D">
      <w:r w:rsidRPr="005E6AE4">
        <w:t xml:space="preserve">This includes </w:t>
      </w:r>
      <w:r w:rsidR="004A435C">
        <w:t xml:space="preserve">the previously mentioned </w:t>
      </w:r>
      <w:r w:rsidR="0099582D">
        <w:t xml:space="preserve">$1 billion in capital funding for the </w:t>
      </w:r>
      <w:r w:rsidR="004A435C">
        <w:t>Safety Net</w:t>
      </w:r>
      <w:r w:rsidR="0099582D">
        <w:t xml:space="preserve"> </w:t>
      </w:r>
      <w:r w:rsidR="004A435C">
        <w:t>T</w:t>
      </w:r>
      <w:r w:rsidR="0099582D">
        <w:t xml:space="preserve">ransformation </w:t>
      </w:r>
      <w:r w:rsidR="004A435C">
        <w:t>P</w:t>
      </w:r>
      <w:r w:rsidR="0099582D">
        <w:t xml:space="preserve">rogram [Capital Projects 459]. </w:t>
      </w:r>
    </w:p>
    <w:p w14:paraId="5D0E9C5E" w14:textId="77777777" w:rsidR="00794D65" w:rsidRPr="00E7006B" w:rsidRDefault="00794D65" w:rsidP="00794D65">
      <w:pPr>
        <w:pStyle w:val="Heading2"/>
      </w:pPr>
      <w:bookmarkStart w:id="60" w:name="_Toc188443931"/>
      <w:bookmarkStart w:id="61" w:name="_Toc188444063"/>
      <w:bookmarkStart w:id="62" w:name="_Toc230853686"/>
      <w:r w:rsidRPr="00E7006B">
        <w:t>Office of Mental Health (OMH)</w:t>
      </w:r>
      <w:bookmarkEnd w:id="60"/>
      <w:bookmarkEnd w:id="61"/>
      <w:bookmarkEnd w:id="62"/>
    </w:p>
    <w:p w14:paraId="1491A6A1" w14:textId="37ECCDDA" w:rsidR="00794D65" w:rsidRPr="00E7006B" w:rsidRDefault="00794D65" w:rsidP="00794D65">
      <w:r w:rsidRPr="00E7006B">
        <w:t>The Executive Budget allocates $6.</w:t>
      </w:r>
      <w:r w:rsidR="00E7006B" w:rsidRPr="00E7006B">
        <w:t>3</w:t>
      </w:r>
      <w:r w:rsidRPr="00E7006B">
        <w:t xml:space="preserve"> billion in All Funds appropriations for the Office of Mental Health (OMH), representing a 6.3% increase from FY 2025, which includes: </w:t>
      </w:r>
    </w:p>
    <w:p w14:paraId="32B23838" w14:textId="1AAC0008" w:rsidR="00794D65" w:rsidRPr="00E7006B" w:rsidRDefault="00794D65" w:rsidP="00794D65">
      <w:pPr>
        <w:pStyle w:val="ListParagraph"/>
        <w:numPr>
          <w:ilvl w:val="0"/>
          <w:numId w:val="12"/>
        </w:numPr>
      </w:pPr>
      <w:r w:rsidRPr="00E7006B">
        <w:t>Aid to Localities: $3.</w:t>
      </w:r>
      <w:r w:rsidR="00E7006B" w:rsidRPr="00E7006B">
        <w:t>4</w:t>
      </w:r>
      <w:r w:rsidR="00B91CA9">
        <w:t>9</w:t>
      </w:r>
      <w:r w:rsidR="00E7006B" w:rsidRPr="00E7006B">
        <w:t xml:space="preserve"> </w:t>
      </w:r>
      <w:r w:rsidRPr="00E7006B">
        <w:t xml:space="preserve">billion [AtL </w:t>
      </w:r>
      <w:r w:rsidR="00B91CA9">
        <w:t>1267</w:t>
      </w:r>
      <w:r w:rsidRPr="00E7006B">
        <w:t>]</w:t>
      </w:r>
    </w:p>
    <w:p w14:paraId="7A238BFD" w14:textId="202F9AF7" w:rsidR="00794D65" w:rsidRPr="00E7006B" w:rsidRDefault="00794D65" w:rsidP="00794D65">
      <w:pPr>
        <w:pStyle w:val="ListParagraph"/>
        <w:numPr>
          <w:ilvl w:val="0"/>
          <w:numId w:val="12"/>
        </w:numPr>
      </w:pPr>
      <w:r w:rsidRPr="00E7006B">
        <w:t>Capital Projects: $0.</w:t>
      </w:r>
      <w:r w:rsidR="00E7006B" w:rsidRPr="00E7006B">
        <w:t>444</w:t>
      </w:r>
      <w:r w:rsidRPr="00E7006B">
        <w:t xml:space="preserve"> billion [Capital </w:t>
      </w:r>
      <w:r w:rsidR="00B91CA9">
        <w:t>563</w:t>
      </w:r>
      <w:r w:rsidRPr="00E7006B">
        <w:t>]</w:t>
      </w:r>
    </w:p>
    <w:p w14:paraId="68C21673" w14:textId="20F3C51F" w:rsidR="00794D65" w:rsidRPr="00E7006B" w:rsidRDefault="00794D65" w:rsidP="00E7006B">
      <w:pPr>
        <w:pStyle w:val="ListParagraph"/>
        <w:numPr>
          <w:ilvl w:val="0"/>
          <w:numId w:val="12"/>
        </w:numPr>
      </w:pPr>
      <w:r w:rsidRPr="00E7006B">
        <w:t xml:space="preserve">State Operations: $2.40 billion [State Ops </w:t>
      </w:r>
      <w:r w:rsidR="00B91CA9">
        <w:t>626</w:t>
      </w:r>
      <w:r w:rsidRPr="00E7006B">
        <w:t>]</w:t>
      </w:r>
    </w:p>
    <w:p w14:paraId="78E41EB4" w14:textId="77777777" w:rsidR="00794D65" w:rsidRPr="00E7006B" w:rsidRDefault="00794D65" w:rsidP="00794D65">
      <w:pPr>
        <w:pStyle w:val="Heading2"/>
      </w:pPr>
      <w:bookmarkStart w:id="63" w:name="_Toc188443932"/>
      <w:bookmarkStart w:id="64" w:name="_Toc188444064"/>
      <w:bookmarkStart w:id="65" w:name="_Toc230853687"/>
      <w:r w:rsidRPr="00E7006B">
        <w:t>Office of Addiction Services and Supports (OASAS)</w:t>
      </w:r>
      <w:bookmarkEnd w:id="63"/>
      <w:bookmarkEnd w:id="64"/>
      <w:bookmarkEnd w:id="65"/>
    </w:p>
    <w:p w14:paraId="627AD2EE" w14:textId="3189E857" w:rsidR="00794D65" w:rsidRPr="00E7006B" w:rsidRDefault="00794D65" w:rsidP="00794D65">
      <w:r w:rsidRPr="00E7006B">
        <w:lastRenderedPageBreak/>
        <w:t>The Executive Budget allocates $1.</w:t>
      </w:r>
      <w:r w:rsidR="00E7006B" w:rsidRPr="00E7006B">
        <w:t>3</w:t>
      </w:r>
      <w:r w:rsidR="00C6517E">
        <w:t>6</w:t>
      </w:r>
      <w:r w:rsidRPr="00E7006B">
        <w:t xml:space="preserve"> billion in All Funds appropriations for the Office of Addiction Services and Supports (OASAS), representing a</w:t>
      </w:r>
      <w:r w:rsidR="00C31D46">
        <w:t>n</w:t>
      </w:r>
      <w:r w:rsidRPr="00E7006B">
        <w:t xml:space="preserve"> </w:t>
      </w:r>
      <w:r w:rsidR="00F2737D">
        <w:t>8</w:t>
      </w:r>
      <w:r w:rsidRPr="00E7006B">
        <w:t>% increase from FY 202</w:t>
      </w:r>
      <w:r w:rsidR="00E7006B" w:rsidRPr="00E7006B">
        <w:t>6</w:t>
      </w:r>
      <w:r w:rsidRPr="00E7006B">
        <w:t xml:space="preserve">, which includes: </w:t>
      </w:r>
    </w:p>
    <w:p w14:paraId="05CF71EF" w14:textId="0B87B040" w:rsidR="00E7006B" w:rsidRPr="00E7006B" w:rsidRDefault="00E7006B" w:rsidP="00E7006B">
      <w:pPr>
        <w:pStyle w:val="ListParagraph"/>
        <w:numPr>
          <w:ilvl w:val="0"/>
          <w:numId w:val="25"/>
        </w:numPr>
        <w:tabs>
          <w:tab w:val="left" w:pos="2250"/>
        </w:tabs>
        <w:spacing w:line="240" w:lineRule="auto"/>
      </w:pPr>
      <w:r w:rsidRPr="00E7006B">
        <w:t xml:space="preserve">Aid to Localities: $1.05 billion [AtL </w:t>
      </w:r>
      <w:r w:rsidR="007810EC">
        <w:t>1232</w:t>
      </w:r>
      <w:r w:rsidRPr="00E7006B">
        <w:t>]</w:t>
      </w:r>
    </w:p>
    <w:p w14:paraId="02528CE2" w14:textId="1B8EC988" w:rsidR="00E7006B" w:rsidRPr="00E7006B" w:rsidRDefault="00E7006B" w:rsidP="00E7006B">
      <w:pPr>
        <w:pStyle w:val="ListParagraph"/>
        <w:numPr>
          <w:ilvl w:val="0"/>
          <w:numId w:val="25"/>
        </w:numPr>
        <w:tabs>
          <w:tab w:val="left" w:pos="2250"/>
        </w:tabs>
        <w:spacing w:line="240" w:lineRule="auto"/>
      </w:pPr>
      <w:r w:rsidRPr="00E7006B">
        <w:t xml:space="preserve">Capital Projects: $0.093 billion [Capital </w:t>
      </w:r>
      <w:r w:rsidR="007810EC">
        <w:t>538</w:t>
      </w:r>
      <w:r w:rsidRPr="00E7006B">
        <w:t>]</w:t>
      </w:r>
    </w:p>
    <w:p w14:paraId="6546FDB3" w14:textId="6355B995" w:rsidR="00794D65" w:rsidRPr="00E7006B" w:rsidRDefault="00E7006B" w:rsidP="00E7006B">
      <w:pPr>
        <w:pStyle w:val="ListParagraph"/>
        <w:numPr>
          <w:ilvl w:val="0"/>
          <w:numId w:val="25"/>
        </w:numPr>
        <w:tabs>
          <w:tab w:val="left" w:pos="2250"/>
        </w:tabs>
        <w:spacing w:line="240" w:lineRule="auto"/>
      </w:pPr>
      <w:r w:rsidRPr="00E7006B">
        <w:t xml:space="preserve">State Operations: $0.199 billion [State Ops </w:t>
      </w:r>
      <w:r w:rsidR="007810EC">
        <w:t>616</w:t>
      </w:r>
      <w:r w:rsidRPr="00E7006B">
        <w:t>]</w:t>
      </w:r>
    </w:p>
    <w:p w14:paraId="7D33A14D" w14:textId="6B94A4C2" w:rsidR="00E7006B" w:rsidRPr="00E7006B" w:rsidRDefault="00794D65" w:rsidP="00E7006B">
      <w:pPr>
        <w:pStyle w:val="Heading2"/>
      </w:pPr>
      <w:bookmarkStart w:id="66" w:name="_Toc188443933"/>
      <w:bookmarkStart w:id="67" w:name="_Toc188444065"/>
      <w:bookmarkStart w:id="68" w:name="_Toc230853688"/>
      <w:r w:rsidRPr="00E7006B">
        <w:t xml:space="preserve">Office for People </w:t>
      </w:r>
      <w:r w:rsidR="0056201D">
        <w:t>w</w:t>
      </w:r>
      <w:r w:rsidRPr="00E7006B">
        <w:t>ith Developmental Disabilities (OPWDD)</w:t>
      </w:r>
      <w:bookmarkEnd w:id="66"/>
      <w:bookmarkEnd w:id="67"/>
      <w:bookmarkEnd w:id="68"/>
    </w:p>
    <w:p w14:paraId="40BFF5A4" w14:textId="57C2565D" w:rsidR="00E7006B" w:rsidRPr="00E7006B" w:rsidRDefault="00E7006B" w:rsidP="00E7006B">
      <w:r w:rsidRPr="00E7006B">
        <w:t>The Executive Budget allocates $10.3</w:t>
      </w:r>
      <w:r w:rsidR="001B4E34">
        <w:t>9</w:t>
      </w:r>
      <w:r w:rsidRPr="00E7006B">
        <w:t xml:space="preserve"> billion in All Funds appropriations for the Office for People with Developmental Disabilities (OPWDD), which includes: </w:t>
      </w:r>
    </w:p>
    <w:p w14:paraId="1F3F795C" w14:textId="62101D02" w:rsidR="00E7006B" w:rsidRPr="00E7006B" w:rsidRDefault="00E7006B" w:rsidP="00E7006B">
      <w:pPr>
        <w:pStyle w:val="ListParagraph"/>
        <w:numPr>
          <w:ilvl w:val="0"/>
          <w:numId w:val="27"/>
        </w:numPr>
      </w:pPr>
      <w:r w:rsidRPr="00E7006B">
        <w:t>Aid to Localities: $7.8</w:t>
      </w:r>
      <w:r w:rsidR="008319A0">
        <w:t>8</w:t>
      </w:r>
      <w:r w:rsidRPr="00E7006B">
        <w:t xml:space="preserve"> billion [AtL </w:t>
      </w:r>
      <w:r w:rsidR="00D73229">
        <w:t>1316</w:t>
      </w:r>
      <w:r w:rsidRPr="00E7006B">
        <w:t>]</w:t>
      </w:r>
    </w:p>
    <w:p w14:paraId="611F7DA9" w14:textId="6BF8C430" w:rsidR="00E7006B" w:rsidRPr="00E7006B" w:rsidRDefault="00E7006B" w:rsidP="00E7006B">
      <w:pPr>
        <w:pStyle w:val="ListParagraph"/>
        <w:numPr>
          <w:ilvl w:val="0"/>
          <w:numId w:val="27"/>
        </w:numPr>
      </w:pPr>
      <w:r w:rsidRPr="00E7006B">
        <w:t xml:space="preserve">Capital Projects: $0.143 billion [Capital </w:t>
      </w:r>
      <w:r w:rsidR="00D73229">
        <w:t>6</w:t>
      </w:r>
      <w:r w:rsidRPr="00E7006B">
        <w:t>10]</w:t>
      </w:r>
    </w:p>
    <w:p w14:paraId="1024A1ED" w14:textId="26B5467D" w:rsidR="00E7006B" w:rsidRDefault="00E7006B" w:rsidP="00E7006B">
      <w:pPr>
        <w:pStyle w:val="ListParagraph"/>
        <w:numPr>
          <w:ilvl w:val="0"/>
          <w:numId w:val="27"/>
        </w:numPr>
      </w:pPr>
      <w:r w:rsidRPr="00E7006B">
        <w:t xml:space="preserve">State Operations: $2.37 billion [State Ops </w:t>
      </w:r>
      <w:r w:rsidR="00D73229">
        <w:t>640</w:t>
      </w:r>
      <w:r w:rsidRPr="00E7006B">
        <w:t>]</w:t>
      </w:r>
    </w:p>
    <w:p w14:paraId="51238AED" w14:textId="154CA889" w:rsidR="00B02222" w:rsidRDefault="00B02222" w:rsidP="00B02222">
      <w:pPr>
        <w:pStyle w:val="Heading2"/>
      </w:pPr>
      <w:bookmarkStart w:id="69" w:name="_Toc230853689"/>
      <w:r>
        <w:t>Other</w:t>
      </w:r>
      <w:bookmarkEnd w:id="69"/>
    </w:p>
    <w:p w14:paraId="11757348" w14:textId="79E71BBC" w:rsidR="00B02222" w:rsidRPr="00B02222" w:rsidRDefault="00B02222" w:rsidP="00B02222">
      <w:pPr>
        <w:pStyle w:val="ListParagraph"/>
        <w:numPr>
          <w:ilvl w:val="0"/>
          <w:numId w:val="38"/>
        </w:numPr>
      </w:pPr>
      <w:r>
        <w:rPr>
          <w:color w:val="000000"/>
        </w:rPr>
        <w:t>$30 million in funding for the Statewide Health Information Network for New York (SHIN-NY), $2.5 million of which must be used for modernizing health reporting systems [Capital 461]</w:t>
      </w:r>
    </w:p>
    <w:p w14:paraId="50EA9E68" w14:textId="77777777" w:rsidR="00422157" w:rsidRDefault="00422157" w:rsidP="00422157">
      <w:pPr>
        <w:pStyle w:val="Heading1"/>
      </w:pPr>
      <w:bookmarkStart w:id="70" w:name="_Toc188376189"/>
      <w:bookmarkStart w:id="71" w:name="_Toc188443939"/>
      <w:bookmarkStart w:id="72" w:name="_Toc188444071"/>
      <w:bookmarkStart w:id="73" w:name="_Toc230853690"/>
      <w:r w:rsidRPr="00376145">
        <w:t>Other Health Care Provisions</w:t>
      </w:r>
      <w:bookmarkEnd w:id="70"/>
      <w:bookmarkEnd w:id="71"/>
      <w:bookmarkEnd w:id="72"/>
      <w:bookmarkEnd w:id="73"/>
    </w:p>
    <w:p w14:paraId="47F2BDD2" w14:textId="046BA9E6" w:rsidR="0056201D" w:rsidRDefault="0056201D" w:rsidP="0056201D">
      <w:pPr>
        <w:pStyle w:val="Heading2"/>
      </w:pPr>
      <w:bookmarkStart w:id="74" w:name="_Toc230853691"/>
      <w:r>
        <w:t>New York City Public Health Reimbursement</w:t>
      </w:r>
      <w:bookmarkEnd w:id="74"/>
    </w:p>
    <w:p w14:paraId="06CB357D" w14:textId="09C8E1C4" w:rsidR="0056201D" w:rsidRDefault="0056201D" w:rsidP="0056201D">
      <w:r>
        <w:t>The Budget includes the Executive proposal to increase New York City’s minimum reimbursement rate for eligible public health services from 20% to 36%, consistent with other municipalities</w:t>
      </w:r>
      <w:r w:rsidR="00FA3C4B">
        <w:t xml:space="preserve">. </w:t>
      </w:r>
      <w:r w:rsidR="00746215">
        <w:t>As proposed by the Governor, t</w:t>
      </w:r>
      <w:r w:rsidR="00FA3C4B">
        <w:t xml:space="preserve">he Budget also </w:t>
      </w:r>
      <w:r w:rsidR="00746215">
        <w:t>eliminates</w:t>
      </w:r>
      <w:r w:rsidR="00FA3C4B">
        <w:t xml:space="preserve"> the State’s interception of NYC sales tax revenues used to fund the Distressed Provider Assistance Account</w:t>
      </w:r>
      <w:r>
        <w:t xml:space="preserve"> [HMH, Part T].</w:t>
      </w:r>
    </w:p>
    <w:p w14:paraId="56CCB6EB" w14:textId="77777777" w:rsidR="00422157" w:rsidRDefault="00422157" w:rsidP="00422157">
      <w:pPr>
        <w:pStyle w:val="Heading2"/>
        <w:spacing w:line="247" w:lineRule="auto"/>
      </w:pPr>
      <w:bookmarkStart w:id="75" w:name="_Toc188376195"/>
      <w:bookmarkStart w:id="76" w:name="_Toc188443943"/>
      <w:bookmarkStart w:id="77" w:name="_Toc188444075"/>
      <w:bookmarkStart w:id="78" w:name="_Toc230853692"/>
      <w:r w:rsidRPr="00895048">
        <w:t>Extenders</w:t>
      </w:r>
      <w:bookmarkEnd w:id="75"/>
      <w:bookmarkEnd w:id="76"/>
      <w:bookmarkEnd w:id="77"/>
      <w:bookmarkEnd w:id="78"/>
    </w:p>
    <w:p w14:paraId="2B455473" w14:textId="20CB2722" w:rsidR="00A02881" w:rsidRPr="00397FF0" w:rsidRDefault="00A02881" w:rsidP="00A02881">
      <w:pPr>
        <w:spacing w:line="247" w:lineRule="auto"/>
      </w:pPr>
      <w:r w:rsidRPr="00397FF0">
        <w:t>The Budget extend</w:t>
      </w:r>
      <w:r>
        <w:t xml:space="preserve">s </w:t>
      </w:r>
      <w:r w:rsidRPr="00397FF0">
        <w:t>the authority for various existing provisions, such as:</w:t>
      </w:r>
    </w:p>
    <w:p w14:paraId="1DC58D68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</w:t>
      </w:r>
      <w:r w:rsidRPr="00FA6030">
        <w:t xml:space="preserve">he authorization for the statewide Medicaid managed care program </w:t>
      </w:r>
      <w:r>
        <w:t xml:space="preserve">is extended </w:t>
      </w:r>
      <w:r w:rsidRPr="00FA6030">
        <w:t xml:space="preserve">through </w:t>
      </w:r>
      <w:r>
        <w:t xml:space="preserve">FY </w:t>
      </w:r>
      <w:r w:rsidRPr="00FA6030">
        <w:t>20</w:t>
      </w:r>
      <w:r>
        <w:t>29</w:t>
      </w:r>
      <w:r w:rsidRPr="00FA6030">
        <w:t xml:space="preserve"> [HMH, Part B, Sectio</w:t>
      </w:r>
      <w:r>
        <w:t>ns 1-2].</w:t>
      </w:r>
    </w:p>
    <w:p w14:paraId="3ECE8927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 xml:space="preserve">The statutory authority for integrated Medicaid service delivery models and related demonstrations is extended through FY 2029 </w:t>
      </w:r>
      <w:r w:rsidRPr="00FA6030">
        <w:t>[HMH, Part B, Sectio</w:t>
      </w:r>
      <w:r>
        <w:t>n 3].</w:t>
      </w:r>
    </w:p>
    <w:p w14:paraId="147063C1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 xml:space="preserve">The use of Office of Professional Medical Conduct (OPMC) funds for the Physician Profile website is extended through FY 2029 </w:t>
      </w:r>
      <w:r w:rsidRPr="00FA6030">
        <w:t>[HMH, Part B, Sectio</w:t>
      </w:r>
      <w:r>
        <w:t>n 4].</w:t>
      </w:r>
    </w:p>
    <w:p w14:paraId="36AF9AA3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authorization for the Statewide Health Information Network (SHIN-NY) and the Statewide Planning and Research Cooperative System (SPARCS) is extended through FY 2029 [</w:t>
      </w:r>
      <w:r w:rsidRPr="00FA6030">
        <w:t>HMH, Part B, Sectio</w:t>
      </w:r>
      <w:r>
        <w:t>n 5].</w:t>
      </w:r>
    </w:p>
    <w:p w14:paraId="09CC298C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lastRenderedPageBreak/>
        <w:t>The statutory authority related to pharmacy reimbursement and prescription drug coverage under the Elder Law program is extended through FY 2029 [</w:t>
      </w:r>
      <w:r w:rsidRPr="00FA6030">
        <w:t>HMH, Part B, Sectio</w:t>
      </w:r>
      <w:r>
        <w:t>n 6].</w:t>
      </w:r>
    </w:p>
    <w:p w14:paraId="78629A86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nursing home “Medicare Maximization” framework is continued through February 1, 2029 [</w:t>
      </w:r>
      <w:r w:rsidRPr="00FA6030">
        <w:t>HMH, Part B, Sectio</w:t>
      </w:r>
      <w:r>
        <w:t>ns 7-9].</w:t>
      </w:r>
    </w:p>
    <w:p w14:paraId="79CF0F7F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authority for DOH to negotiate supplemental rebates for certain drug classes is extended through FY 2029 and a related statutory sunset is extended through FY 2032 [</w:t>
      </w:r>
      <w:r w:rsidRPr="00FA6030">
        <w:t>HMH, Part B, Sectio</w:t>
      </w:r>
      <w:r>
        <w:t>ns 10-11].</w:t>
      </w:r>
    </w:p>
    <w:p w14:paraId="17926EE7" w14:textId="16EA4A75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statutory authority for statewide hospital quality and sole community pools that support Medicaid financing arrangements, including the New York City Health + Hospitals UPL conversion, is extended through FY 2029</w:t>
      </w:r>
      <w:r w:rsidR="000B6E54">
        <w:t xml:space="preserve"> at an estimated value of $250M.</w:t>
      </w:r>
      <w:r>
        <w:t xml:space="preserve"> [</w:t>
      </w:r>
      <w:r w:rsidRPr="00FA6030">
        <w:t>HMH, Part B, Sectio</w:t>
      </w:r>
      <w:r>
        <w:t>n 12].</w:t>
      </w:r>
    </w:p>
    <w:p w14:paraId="67B55FD1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authorization of services for nonresidents in adult homes, residences for adults, and enriched housing programs is extended through July 2029 [</w:t>
      </w:r>
      <w:r w:rsidRPr="00FA6030">
        <w:t>HMH, Part B, Sectio</w:t>
      </w:r>
      <w:r>
        <w:t>n 13].</w:t>
      </w:r>
    </w:p>
    <w:p w14:paraId="3429D534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exemption from electronic prescribing for low-volume prescribers is extended through May 2029 [</w:t>
      </w:r>
      <w:r w:rsidRPr="00FA6030">
        <w:t>HMH, Part B, Sectio</w:t>
      </w:r>
      <w:r>
        <w:t>n 14].</w:t>
      </w:r>
    </w:p>
    <w:p w14:paraId="43E50488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distribution methodologies for the voluntary indigent care pool and Disproportionate Share Hospital (DSH) fund are extended through December 2029 [</w:t>
      </w:r>
      <w:r w:rsidRPr="00FA6030">
        <w:t>HMH, Part B, Sectio</w:t>
      </w:r>
      <w:r>
        <w:t>n 15].</w:t>
      </w:r>
    </w:p>
    <w:p w14:paraId="43EBAAAD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regulatory flexibility for certain Delivery System Reform Incentive Payment (DSRIP) program promising practices is extended through FY 2028 [</w:t>
      </w:r>
      <w:r w:rsidRPr="00FA6030">
        <w:t>HMH, Part B, Sectio</w:t>
      </w:r>
      <w:r>
        <w:t>n 16].</w:t>
      </w:r>
    </w:p>
    <w:p w14:paraId="42FF7D73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Flexibilities for pharmacist-directed lab and testing flexibilities are extended through July 1, 2030 [</w:t>
      </w:r>
      <w:r w:rsidRPr="00FA6030">
        <w:t>HMH, Part B, Sectio</w:t>
      </w:r>
      <w:r>
        <w:t>n 17].</w:t>
      </w:r>
    </w:p>
    <w:p w14:paraId="5E7C6D02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Collaborative Drug Therapy Management (CDTM) demonstration is extended through July 1, 2030 [</w:t>
      </w:r>
      <w:r w:rsidRPr="00FA6030">
        <w:t>HMH, Part B, Sectio</w:t>
      </w:r>
      <w:r>
        <w:t>n 18].</w:t>
      </w:r>
    </w:p>
    <w:p w14:paraId="666EC376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authorization for physician assistants to issue non-patient specific orders for routine Covid-19 and influenza testing is extended through July 1, 2030 [</w:t>
      </w:r>
      <w:r w:rsidRPr="00FA6030">
        <w:t>HMH, Part B, Sectio</w:t>
      </w:r>
      <w:r>
        <w:t>n 19].</w:t>
      </w:r>
    </w:p>
    <w:p w14:paraId="424D689F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telehealth payment parity law is extended through FY 2028 [</w:t>
      </w:r>
      <w:r w:rsidRPr="00FA6030">
        <w:t>HMH, Part B, Sectio</w:t>
      </w:r>
      <w:r>
        <w:t>n 20].</w:t>
      </w:r>
    </w:p>
    <w:p w14:paraId="2EB3850A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Statewide Medicaid integrity and efficiency initiative to support audit recoveries, efficiencies, and other cost avoidance measures is extended through FY 2028 [</w:t>
      </w:r>
      <w:r w:rsidRPr="00FA6030">
        <w:t>HMH, Part B, Sectio</w:t>
      </w:r>
      <w:r>
        <w:t>n 21].</w:t>
      </w:r>
    </w:p>
    <w:p w14:paraId="38038BFA" w14:textId="7777777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authority for the NY State of Health customer service contract is extended until August 19, 2027 [</w:t>
      </w:r>
      <w:r w:rsidRPr="00FA6030">
        <w:t>HMH, Part B, Sectio</w:t>
      </w:r>
      <w:r>
        <w:t>n 22].</w:t>
      </w:r>
    </w:p>
    <w:p w14:paraId="7B1DCA43" w14:textId="2CF8181D" w:rsidR="00A02881" w:rsidRPr="00FA6030" w:rsidRDefault="00A02881" w:rsidP="00A02881">
      <w:pPr>
        <w:pStyle w:val="ListParagraph"/>
        <w:numPr>
          <w:ilvl w:val="0"/>
          <w:numId w:val="8"/>
        </w:numPr>
        <w:spacing w:line="247" w:lineRule="auto"/>
      </w:pPr>
      <w:r>
        <w:t>The Medicaid managed care carve-out for Nursing Home Diversion and Transition (NHTD) waiver services is extended through January 1, 2028</w:t>
      </w:r>
      <w:r w:rsidR="00707B2B">
        <w:t xml:space="preserve"> [</w:t>
      </w:r>
      <w:r w:rsidR="00707B2B" w:rsidRPr="00FA6030">
        <w:t>HMH, Part B, Sectio</w:t>
      </w:r>
      <w:r w:rsidR="00707B2B">
        <w:t>n 23]</w:t>
      </w:r>
      <w:r>
        <w:t>.</w:t>
      </w:r>
    </w:p>
    <w:p w14:paraId="342930E3" w14:textId="61C942C7" w:rsidR="00A02881" w:rsidRDefault="00A02881" w:rsidP="00A02881">
      <w:pPr>
        <w:pStyle w:val="ListParagraph"/>
        <w:numPr>
          <w:ilvl w:val="0"/>
          <w:numId w:val="8"/>
        </w:numPr>
        <w:spacing w:line="247" w:lineRule="auto"/>
      </w:pPr>
      <w:r w:rsidRPr="006074BB">
        <w:t>The Health Care Reform Act (HCRA)</w:t>
      </w:r>
      <w:r>
        <w:t xml:space="preserve"> programs are extended through FY 2029, consistent with the State’s standard practice of reauthorizing HCRA in three-year increments [HMH, Part C].</w:t>
      </w:r>
    </w:p>
    <w:p w14:paraId="0D902A8D" w14:textId="61E2EE9F" w:rsidR="00A3157C" w:rsidRDefault="00976F3F" w:rsidP="00A3157C">
      <w:pPr>
        <w:pStyle w:val="ListParagraph"/>
        <w:numPr>
          <w:ilvl w:val="0"/>
          <w:numId w:val="8"/>
        </w:numPr>
        <w:spacing w:line="247" w:lineRule="auto"/>
      </w:pPr>
      <w:r>
        <w:t xml:space="preserve">The Empire Clinical Research Investigator Program (ECRIP) is extended through FY 2029 </w:t>
      </w:r>
      <w:r w:rsidRPr="00017801">
        <w:t xml:space="preserve">[HMH, Part </w:t>
      </w:r>
      <w:r>
        <w:t>C</w:t>
      </w:r>
      <w:r w:rsidRPr="00017801">
        <w:t>, Section</w:t>
      </w:r>
      <w:r>
        <w:t xml:space="preserve"> 10].</w:t>
      </w:r>
    </w:p>
    <w:p w14:paraId="5113D550" w14:textId="67939ED1" w:rsidR="00D97565" w:rsidRDefault="00D97565" w:rsidP="00A3157C">
      <w:pPr>
        <w:pStyle w:val="ListParagraph"/>
        <w:numPr>
          <w:ilvl w:val="0"/>
          <w:numId w:val="8"/>
        </w:numPr>
        <w:spacing w:line="247" w:lineRule="auto"/>
      </w:pPr>
      <w:r>
        <w:t>The Physician Excess Medical Malpractice Program is extended through June 20, 2027 [HMH, Part D].</w:t>
      </w:r>
    </w:p>
    <w:p w14:paraId="417D1832" w14:textId="434BD939" w:rsidR="002B3533" w:rsidRDefault="002B3533" w:rsidP="00A3157C">
      <w:pPr>
        <w:pStyle w:val="ListParagraph"/>
        <w:numPr>
          <w:ilvl w:val="0"/>
          <w:numId w:val="8"/>
        </w:numPr>
        <w:spacing w:line="247" w:lineRule="auto"/>
      </w:pPr>
      <w:r>
        <w:lastRenderedPageBreak/>
        <w:t xml:space="preserve">Payments for the NYS </w:t>
      </w:r>
      <w:r w:rsidR="002202AB">
        <w:t>Medical Indemnity Fund</w:t>
      </w:r>
      <w:r>
        <w:t xml:space="preserve"> are extended through June 1, 2027 [HMH, Part I].</w:t>
      </w:r>
    </w:p>
    <w:p w14:paraId="6FF6495C" w14:textId="1A4DF2F5" w:rsidR="00EF7BF9" w:rsidRDefault="00EF7BF9" w:rsidP="00A3157C">
      <w:pPr>
        <w:pStyle w:val="ListParagraph"/>
        <w:numPr>
          <w:ilvl w:val="0"/>
          <w:numId w:val="8"/>
        </w:numPr>
        <w:spacing w:line="247" w:lineRule="auto"/>
      </w:pPr>
      <w:r>
        <w:t>The OPWDD care demonstration program is extended through FY 2028 [HMH, Part W].</w:t>
      </w:r>
    </w:p>
    <w:p w14:paraId="31EA74D5" w14:textId="5D59AAEE" w:rsidR="000D394C" w:rsidRDefault="000D394C" w:rsidP="000D394C">
      <w:pPr>
        <w:pStyle w:val="ListParagraph"/>
        <w:numPr>
          <w:ilvl w:val="0"/>
          <w:numId w:val="8"/>
        </w:numPr>
        <w:spacing w:line="247" w:lineRule="auto"/>
      </w:pPr>
      <w:r>
        <w:t>The current reimbursement methodology for pediatric facilities for medically fragile children is extended through FY 2029 [HMH, Part AA].</w:t>
      </w:r>
    </w:p>
    <w:p w14:paraId="65F906E6" w14:textId="41BAE738" w:rsidR="00EF396F" w:rsidRDefault="00EF396F" w:rsidP="00EF396F">
      <w:pPr>
        <w:pStyle w:val="Heading2"/>
      </w:pPr>
      <w:bookmarkStart w:id="79" w:name="_Toc230853693"/>
      <w:r>
        <w:t>Omitted Proposals</w:t>
      </w:r>
      <w:bookmarkEnd w:id="79"/>
    </w:p>
    <w:p w14:paraId="1B8EA86C" w14:textId="566D0985" w:rsidR="00D22907" w:rsidRDefault="00EF396F" w:rsidP="00EF396F">
      <w:pPr>
        <w:spacing w:after="0" w:line="240" w:lineRule="auto"/>
      </w:pPr>
      <w:r w:rsidRPr="00EF396F">
        <w:t>The</w:t>
      </w:r>
      <w:r w:rsidR="007F06CA">
        <w:t xml:space="preserve"> Enacted</w:t>
      </w:r>
      <w:r w:rsidRPr="00EF396F">
        <w:t xml:space="preserve"> Budget does</w:t>
      </w:r>
      <w:r w:rsidR="007F06CA">
        <w:t xml:space="preserve"> </w:t>
      </w:r>
      <w:r w:rsidR="007F06CA" w:rsidRPr="006F5D9F">
        <w:rPr>
          <w:b/>
          <w:bCs/>
          <w:u w:val="single"/>
        </w:rPr>
        <w:t>no</w:t>
      </w:r>
      <w:r w:rsidR="00733094" w:rsidRPr="006F5D9F">
        <w:rPr>
          <w:b/>
          <w:bCs/>
          <w:u w:val="single"/>
        </w:rPr>
        <w:t>t</w:t>
      </w:r>
      <w:r w:rsidRPr="00EF396F">
        <w:t xml:space="preserve"> include the</w:t>
      </w:r>
      <w:r w:rsidR="00D22907">
        <w:t xml:space="preserve"> following</w:t>
      </w:r>
      <w:r w:rsidRPr="00EF396F">
        <w:t xml:space="preserve"> Executive proposal</w:t>
      </w:r>
      <w:r w:rsidR="00D22907">
        <w:t>s:</w:t>
      </w:r>
    </w:p>
    <w:p w14:paraId="0B2DBA70" w14:textId="77777777" w:rsidR="00D22907" w:rsidRDefault="00D22907" w:rsidP="00EF396F">
      <w:pPr>
        <w:spacing w:after="0" w:line="240" w:lineRule="auto"/>
      </w:pPr>
    </w:p>
    <w:p w14:paraId="67F4ED14" w14:textId="2B458F1E" w:rsidR="00D22907" w:rsidRDefault="00D97565" w:rsidP="00EF396F">
      <w:pPr>
        <w:pStyle w:val="ListParagraph"/>
        <w:numPr>
          <w:ilvl w:val="0"/>
          <w:numId w:val="29"/>
        </w:numPr>
        <w:spacing w:after="0" w:line="240" w:lineRule="auto"/>
      </w:pPr>
      <w:r>
        <w:t>Changing</w:t>
      </w:r>
      <w:r w:rsidR="00EF396F" w:rsidRPr="00EF396F">
        <w:t xml:space="preserve"> the Physician Excess Medical</w:t>
      </w:r>
      <w:r w:rsidR="00D22907">
        <w:t xml:space="preserve"> </w:t>
      </w:r>
      <w:r w:rsidR="00EF396F" w:rsidRPr="00EF396F">
        <w:t>Malpractice program’s premium payment structure to require practitioners to contribute 50% of the</w:t>
      </w:r>
      <w:r w:rsidR="00EF396F">
        <w:t xml:space="preserve"> </w:t>
      </w:r>
      <w:r w:rsidR="00EF396F" w:rsidRPr="00EF396F">
        <w:t>cost</w:t>
      </w:r>
      <w:r w:rsidR="00D22907">
        <w:t xml:space="preserve">; and </w:t>
      </w:r>
    </w:p>
    <w:p w14:paraId="0A46E1E1" w14:textId="2136FB81" w:rsidR="00EF396F" w:rsidRDefault="00D97565" w:rsidP="00EF396F">
      <w:pPr>
        <w:pStyle w:val="ListParagraph"/>
        <w:numPr>
          <w:ilvl w:val="0"/>
          <w:numId w:val="29"/>
        </w:numPr>
        <w:spacing w:after="0" w:line="240" w:lineRule="auto"/>
      </w:pPr>
      <w:r>
        <w:t>Implementing a rate reform for the Medical Indemnity Fund (MIF) that would set reimbursement rates at 100% of the Medicare rate for qualifying health care costs.</w:t>
      </w:r>
    </w:p>
    <w:p w14:paraId="29E4F992" w14:textId="77777777" w:rsidR="00D97565" w:rsidRDefault="00D97565" w:rsidP="00D97565">
      <w:pPr>
        <w:pStyle w:val="ListParagraph"/>
        <w:spacing w:after="0" w:line="240" w:lineRule="auto"/>
      </w:pPr>
    </w:p>
    <w:p w14:paraId="74213BA2" w14:textId="288B8EAB" w:rsidR="00C0140C" w:rsidRDefault="00C0140C" w:rsidP="00EF396F">
      <w:r>
        <w:t xml:space="preserve">The Budget also </w:t>
      </w:r>
      <w:r w:rsidR="00CF6D21">
        <w:t>omits</w:t>
      </w:r>
      <w:r>
        <w:t xml:space="preserve"> the Governor’s proposals to discontinue the following policies and programs: </w:t>
      </w:r>
    </w:p>
    <w:p w14:paraId="13CAFA17" w14:textId="6DDB92D0" w:rsidR="00496A39" w:rsidRPr="00ED6E16" w:rsidRDefault="00496A39" w:rsidP="00496A39">
      <w:pPr>
        <w:pStyle w:val="ListParagraph"/>
        <w:numPr>
          <w:ilvl w:val="0"/>
          <w:numId w:val="8"/>
        </w:numPr>
        <w:spacing w:line="259" w:lineRule="auto"/>
      </w:pPr>
      <w:r w:rsidRPr="00017801">
        <w:t>The operating assistance sub-program for enriched housing</w:t>
      </w:r>
      <w:r>
        <w:t xml:space="preserve"> in Adult Care Facilities;</w:t>
      </w:r>
    </w:p>
    <w:p w14:paraId="6CE91281" w14:textId="74626A00" w:rsidR="00496A39" w:rsidRDefault="00496A39" w:rsidP="00496A39">
      <w:pPr>
        <w:pStyle w:val="ListParagraph"/>
        <w:numPr>
          <w:ilvl w:val="0"/>
          <w:numId w:val="8"/>
        </w:numPr>
        <w:spacing w:line="259" w:lineRule="auto"/>
      </w:pPr>
      <w:r w:rsidRPr="00ED6E16">
        <w:t>The Enhanced Quality of Adult Living (EQUAL) program, which offers incentive payments to operators of Adult Homes and Enriched Housing Program based on their safety net populations</w:t>
      </w:r>
      <w:r>
        <w:t xml:space="preserve">; </w:t>
      </w:r>
    </w:p>
    <w:p w14:paraId="7C0FD9BD" w14:textId="372D9B82" w:rsidR="00325C2D" w:rsidRDefault="00325C2D" w:rsidP="00496A39">
      <w:pPr>
        <w:pStyle w:val="ListParagraph"/>
        <w:numPr>
          <w:ilvl w:val="0"/>
          <w:numId w:val="8"/>
        </w:numPr>
        <w:spacing w:line="259" w:lineRule="auto"/>
      </w:pPr>
      <w:r>
        <w:t>The Empire Clinical Research Investigator Program (ECRIP);</w:t>
      </w:r>
    </w:p>
    <w:p w14:paraId="4477CA03" w14:textId="34FC6130" w:rsidR="00496A39" w:rsidRDefault="00496A39" w:rsidP="00496A39">
      <w:pPr>
        <w:pStyle w:val="ListParagraph"/>
        <w:numPr>
          <w:ilvl w:val="0"/>
          <w:numId w:val="8"/>
        </w:numPr>
        <w:spacing w:line="259" w:lineRule="auto"/>
      </w:pPr>
      <w:r w:rsidRPr="00051AE4">
        <w:t>The Tick-Borne Disease Institute</w:t>
      </w:r>
      <w:r w:rsidR="007E12FA">
        <w:t xml:space="preserve">; and </w:t>
      </w:r>
    </w:p>
    <w:p w14:paraId="34936253" w14:textId="4BFD3C8B" w:rsidR="007E12FA" w:rsidRDefault="007E12FA" w:rsidP="00496A39">
      <w:pPr>
        <w:pStyle w:val="ListParagraph"/>
        <w:numPr>
          <w:ilvl w:val="0"/>
          <w:numId w:val="8"/>
        </w:numPr>
        <w:spacing w:line="259" w:lineRule="auto"/>
      </w:pPr>
      <w:r>
        <w:t>The requirement for DOH to audit the number of working hours for hospital residents.</w:t>
      </w:r>
    </w:p>
    <w:p w14:paraId="5358E160" w14:textId="0756B76B" w:rsidR="00496A39" w:rsidRPr="00EF396F" w:rsidRDefault="00496A39" w:rsidP="00496A39"/>
    <w:sectPr w:rsidR="00496A39" w:rsidRPr="00EF396F" w:rsidSect="00C75E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01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E533" w14:textId="77777777" w:rsidR="0067358A" w:rsidRDefault="0067358A" w:rsidP="00097DB8">
      <w:r>
        <w:separator/>
      </w:r>
    </w:p>
  </w:endnote>
  <w:endnote w:type="continuationSeparator" w:id="0">
    <w:p w14:paraId="042ACEAF" w14:textId="77777777" w:rsidR="0067358A" w:rsidRDefault="0067358A" w:rsidP="0009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7616007"/>
      <w:docPartObj>
        <w:docPartGallery w:val="Page Numbers (Bottom of Page)"/>
        <w:docPartUnique/>
      </w:docPartObj>
    </w:sdtPr>
    <w:sdtContent>
      <w:p w14:paraId="051C70EA" w14:textId="77777777" w:rsidR="00C75E2E" w:rsidRDefault="00C75E2E" w:rsidP="00097DB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246786" w14:textId="77777777" w:rsidR="00C75E2E" w:rsidRDefault="00C75E2E" w:rsidP="00097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811629"/>
      <w:docPartObj>
        <w:docPartGallery w:val="Page Numbers (Bottom of Page)"/>
        <w:docPartUnique/>
      </w:docPartObj>
    </w:sdtPr>
    <w:sdtContent>
      <w:p w14:paraId="1261FF27" w14:textId="77777777" w:rsidR="00C75E2E" w:rsidRDefault="00C75E2E" w:rsidP="00097DB8">
        <w:pPr>
          <w:pStyle w:val="Footer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862EF1" w14:textId="77777777" w:rsidR="00C75E2E" w:rsidRDefault="00C75E2E" w:rsidP="00097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23E2" w14:textId="77777777" w:rsidR="00C75E2E" w:rsidRDefault="00C75E2E" w:rsidP="00F17067">
    <w:pPr>
      <w:pStyle w:val="Footer"/>
      <w:ind w:left="-1440"/>
    </w:pPr>
    <w:r w:rsidRPr="00BE0718">
      <w:rPr>
        <w:noProof/>
      </w:rPr>
      <w:drawing>
        <wp:inline distT="0" distB="0" distL="0" distR="0" wp14:anchorId="5AA94C93" wp14:editId="2BEB94EC">
          <wp:extent cx="7772400" cy="960730"/>
          <wp:effectExtent l="0" t="0" r="0" b="5080"/>
          <wp:docPr id="1170912081" name="Picture 12" descr="A network of white dot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30684" name="Picture 12" descr="A network of white dot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8893" cy="994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E840" w14:textId="77777777" w:rsidR="0067358A" w:rsidRDefault="0067358A" w:rsidP="00097DB8">
      <w:r>
        <w:separator/>
      </w:r>
    </w:p>
  </w:footnote>
  <w:footnote w:type="continuationSeparator" w:id="0">
    <w:p w14:paraId="5AEC539C" w14:textId="77777777" w:rsidR="0067358A" w:rsidRDefault="0067358A" w:rsidP="0009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101" w14:textId="77777777" w:rsidR="00C75E2E" w:rsidRDefault="00C75E2E" w:rsidP="00097D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BCBAE1" wp14:editId="5C5A25E6">
              <wp:simplePos x="0" y="0"/>
              <wp:positionH relativeFrom="column">
                <wp:posOffset>-1146509</wp:posOffset>
              </wp:positionH>
              <wp:positionV relativeFrom="paragraph">
                <wp:posOffset>847725</wp:posOffset>
              </wp:positionV>
              <wp:extent cx="8770493" cy="5334"/>
              <wp:effectExtent l="50800" t="38100" r="31115" b="83820"/>
              <wp:wrapNone/>
              <wp:docPr id="50845923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70493" cy="5334"/>
                      </a:xfrm>
                      <a:prstGeom prst="line">
                        <a:avLst/>
                      </a:prstGeom>
                      <a:ln>
                        <a:solidFill>
                          <a:srgbClr val="182E6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BE343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3pt,66.75pt" to="600.3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+FxwEAAOIDAAAOAAAAZHJzL2Uyb0RvYy54bWysU8tu2zAQvBfoPxC815TtPBzBcg5J00vR&#10;BunjTlNLiwBfIFlL/vsuKVkJ2qIBil4WIrkzuzO72t4ORpMjhKicbehyUVECVrhW2UNDv319eLeh&#10;JCZuW66dhYaeINLb3ds3297XsHKd0y0EgiQ21r1vaJeSrxmLogPD48J5sPgoXTA84TEcWBt4j+xG&#10;s1VVXbHehdYHJyBGvL0fH+mu8EsJIn2WMkIiuqHYWyoxlLjPke22vD4E7jslpjb4P3RhuLJYdKa6&#10;54mTH0H9RmWUCC46mRbCGeakVAKKBlSzrH5R86XjHooWNCf62ab4/2jFp+OdfQxoQ+9jHf1jyCoG&#10;GQyRWvnvONOiCzslQ7HtNNsGQyICLzfX19XFzZoSgW+X6/VFdpWNLJnNh5g+gDMkfzRUK5tF8Zof&#10;P8Y0pp5T8rW2OUanVfugtC6HcNjf6UCOHMe43KzeX11ONV6kYcUMZc9Cylc6aRhpn0AS1WLDq1K+&#10;7BjMtFwIsGk58WqL2RkmsYUZWL0OnPIzFMr+zeDRyL9WnRGlsrNpBhtlXfhT9TScW5Zj/tmBUXe2&#10;YO/aUxlxsQYXqUxnWvq8qS/PBf78a+5+AgAA//8DAFBLAwQUAAYACAAAACEA46x7BeIAAAASAQAA&#10;DwAAAGRycy9kb3ducmV2LnhtbExPTU+DQBC9m/gfNmPirV2+bAllaYzGU6OJaA/eFhgBZWcJu23x&#10;3zuc9DLJzHvzPvL9bAZxxsn1lhSE6wAEUm2bnloF729PqxSE85oaPVhCBT/oYF9cX+U6a+yFXvFc&#10;+lawCLlMK+i8HzMpXd2h0W5tRyTGPu1ktOd1amUz6QuLm0FGQbCRRvfEDp0e8aHD+rs8GQWuL78w&#10;+TDbUB6fX9IkOsRVdFDq9mZ+3PG434HwOPu/D1g6cH4oOFhlT9Q4MShYhWmwYS4jcXwHYqEstiCq&#10;5ZTEIItc/q9S/AIAAP//AwBQSwECLQAUAAYACAAAACEAtoM4kv4AAADhAQAAEwAAAAAAAAAAAAAA&#10;AAAAAAAAW0NvbnRlbnRfVHlwZXNdLnhtbFBLAQItABQABgAIAAAAIQA4/SH/1gAAAJQBAAALAAAA&#10;AAAAAAAAAAAAAC8BAABfcmVscy8ucmVsc1BLAQItABQABgAIAAAAIQCBTG+FxwEAAOIDAAAOAAAA&#10;AAAAAAAAAAAAAC4CAABkcnMvZTJvRG9jLnhtbFBLAQItABQABgAIAAAAIQDjrHsF4gAAABIBAAAP&#10;AAAAAAAAAAAAAAAAACEEAABkcnMvZG93bnJldi54bWxQSwUGAAAAAAQABADzAAAAMAUAAAAA&#10;" strokecolor="#182e65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CD26F" wp14:editId="2ED192B0">
              <wp:simplePos x="0" y="0"/>
              <wp:positionH relativeFrom="column">
                <wp:posOffset>-1058545</wp:posOffset>
              </wp:positionH>
              <wp:positionV relativeFrom="paragraph">
                <wp:posOffset>914233</wp:posOffset>
              </wp:positionV>
              <wp:extent cx="8770493" cy="5334"/>
              <wp:effectExtent l="50800" t="38100" r="31115" b="83820"/>
              <wp:wrapNone/>
              <wp:docPr id="6581322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70493" cy="5334"/>
                      </a:xfrm>
                      <a:prstGeom prst="line">
                        <a:avLst/>
                      </a:prstGeom>
                      <a:ln>
                        <a:solidFill>
                          <a:srgbClr val="182E6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68C80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35pt,1in" to="607.2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+FxwEAAOIDAAAOAAAAZHJzL2Uyb0RvYy54bWysU8tu2zAQvBfoPxC815TtPBzBcg5J00vR&#10;BunjTlNLiwBfIFlL/vsuKVkJ2qIBil4WIrkzuzO72t4ORpMjhKicbehyUVECVrhW2UNDv319eLeh&#10;JCZuW66dhYaeINLb3ds3297XsHKd0y0EgiQ21r1vaJeSrxmLogPD48J5sPgoXTA84TEcWBt4j+xG&#10;s1VVXbHehdYHJyBGvL0fH+mu8EsJIn2WMkIiuqHYWyoxlLjPke22vD4E7jslpjb4P3RhuLJYdKa6&#10;54mTH0H9RmWUCC46mRbCGeakVAKKBlSzrH5R86XjHooWNCf62ab4/2jFp+OdfQxoQ+9jHf1jyCoG&#10;GQyRWvnvONOiCzslQ7HtNNsGQyICLzfX19XFzZoSgW+X6/VFdpWNLJnNh5g+gDMkfzRUK5tF8Zof&#10;P8Y0pp5T8rW2OUanVfugtC6HcNjf6UCOHMe43KzeX11ONV6kYcUMZc9Cylc6aRhpn0AS1WLDq1K+&#10;7BjMtFwIsGk58WqL2RkmsYUZWL0OnPIzFMr+zeDRyL9WnRGlsrNpBhtlXfhT9TScW5Zj/tmBUXe2&#10;YO/aUxlxsQYXqUxnWvq8qS/PBf78a+5+AgAA//8DAFBLAwQUAAYACAAAACEA0hJ4YeQAAAASAQAA&#10;DwAAAGRycy9kb3ducmV2LnhtbExPPU/DMBDdkfgP1iGxtU6CSaM0ToVATBVIDXTo5sRHEojtKHbb&#10;8O+5ssBy0t179z6KzWwGdsLJ985KiJcRMLSN071tJby/PS8yYD4oq9XgLEr4Rg+b8vqqULl2Z7vD&#10;UxVaRiLW50pCF8KYc+6bDo3ySzeiJezDTUYFWqeW60mdSdwMPImilBvVW3Lo1IiPHTZf1dFI8H31&#10;ieJgVjHfv7xmItne1clWytub+WlN42ENLOAc/j7g0oHyQ0nBane02rNBwiJO0xVxCRGCql0oSSzu&#10;gdW/pwx4WfD/VcofAAAA//8DAFBLAQItABQABgAIAAAAIQC2gziS/gAAAOEBAAATAAAAAAAAAAAA&#10;AAAAAAAAAABbQ29udGVudF9UeXBlc10ueG1sUEsBAi0AFAAGAAgAAAAhADj9If/WAAAAlAEAAAsA&#10;AAAAAAAAAAAAAAAALwEAAF9yZWxzLy5yZWxzUEsBAi0AFAAGAAgAAAAhAIFMb4XHAQAA4gMAAA4A&#10;AAAAAAAAAAAAAAAALgIAAGRycy9lMm9Eb2MueG1sUEsBAi0AFAAGAAgAAAAhANISeGHkAAAAEgEA&#10;AA8AAAAAAAAAAAAAAAAAIQQAAGRycy9kb3ducmV2LnhtbFBLBQYAAAAABAAEAPMAAAAyBQAAAAA=&#10;" strokecolor="#182e65" strokeweight="1pt">
              <v:stroke joinstyle="miter"/>
            </v:line>
          </w:pict>
        </mc:Fallback>
      </mc:AlternateContent>
    </w:r>
    <w:r w:rsidRPr="00C75E2E">
      <w:rPr>
        <w:noProof/>
      </w:rPr>
      <w:drawing>
        <wp:inline distT="0" distB="0" distL="0" distR="0" wp14:anchorId="38F543C7" wp14:editId="3435FAF7">
          <wp:extent cx="4395537" cy="781680"/>
          <wp:effectExtent l="0" t="0" r="0" b="6350"/>
          <wp:docPr id="1219269984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35790" name="Picture 5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1108" cy="80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A4FE" w14:textId="77777777" w:rsidR="00C75E2E" w:rsidRDefault="00C75E2E" w:rsidP="00097D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9AF1F" wp14:editId="40F0067D">
              <wp:simplePos x="0" y="0"/>
              <wp:positionH relativeFrom="column">
                <wp:posOffset>-1130534</wp:posOffset>
              </wp:positionH>
              <wp:positionV relativeFrom="paragraph">
                <wp:posOffset>857250</wp:posOffset>
              </wp:positionV>
              <wp:extent cx="8770493" cy="5334"/>
              <wp:effectExtent l="50800" t="38100" r="31115" b="83820"/>
              <wp:wrapNone/>
              <wp:docPr id="86246990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70493" cy="5334"/>
                      </a:xfrm>
                      <a:prstGeom prst="line">
                        <a:avLst/>
                      </a:prstGeom>
                      <a:ln>
                        <a:solidFill>
                          <a:srgbClr val="182E6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A0EA4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pt,67.5pt" to="601.6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+FxwEAAOIDAAAOAAAAZHJzL2Uyb0RvYy54bWysU8tu2zAQvBfoPxC815TtPBzBcg5J00vR&#10;BunjTlNLiwBfIFlL/vsuKVkJ2qIBil4WIrkzuzO72t4ORpMjhKicbehyUVECVrhW2UNDv319eLeh&#10;JCZuW66dhYaeINLb3ds3297XsHKd0y0EgiQ21r1vaJeSrxmLogPD48J5sPgoXTA84TEcWBt4j+xG&#10;s1VVXbHehdYHJyBGvL0fH+mu8EsJIn2WMkIiuqHYWyoxlLjPke22vD4E7jslpjb4P3RhuLJYdKa6&#10;54mTH0H9RmWUCC46mRbCGeakVAKKBlSzrH5R86XjHooWNCf62ab4/2jFp+OdfQxoQ+9jHf1jyCoG&#10;GQyRWvnvONOiCzslQ7HtNNsGQyICLzfX19XFzZoSgW+X6/VFdpWNLJnNh5g+gDMkfzRUK5tF8Zof&#10;P8Y0pp5T8rW2OUanVfugtC6HcNjf6UCOHMe43KzeX11ONV6kYcUMZc9Cylc6aRhpn0AS1WLDq1K+&#10;7BjMtFwIsGk58WqL2RkmsYUZWL0OnPIzFMr+zeDRyL9WnRGlsrNpBhtlXfhT9TScW5Zj/tmBUXe2&#10;YO/aUxlxsQYXqUxnWvq8qS/PBf78a+5+AgAA//8DAFBLAwQUAAYACAAAACEA1F1f4uMAAAASAQAA&#10;DwAAAGRycy9kb3ducmV2LnhtbExPS0/DMAy+I/EfIiNx29LHYFXXdEIgThNIK3DgljamLTRO1WRb&#10;+fd4XOBi2f7s71FsZzuII06+d6QgXkYgkBpnemoVvL48LjIQPmgyenCECr7Rw7a8vCh0btyJ9nis&#10;QiuYhHyuFXQhjLmUvunQar90IxJjH26yOvA4tdJM+sTkdpBJFN1Kq3tihU6PeN9h81UdrALfV5+4&#10;erfrWL49PWerZJfWyU6p66v5YcPlbgMi4Bz+PuCcgf1DycZqdyDjxaBgEa8zThQYSW+4OZ8kUZqA&#10;qH9XGciykP+jlD8AAAD//wMAUEsBAi0AFAAGAAgAAAAhALaDOJL+AAAA4QEAABMAAAAAAAAAAAAA&#10;AAAAAAAAAFtDb250ZW50X1R5cGVzXS54bWxQSwECLQAUAAYACAAAACEAOP0h/9YAAACUAQAACwAA&#10;AAAAAAAAAAAAAAAvAQAAX3JlbHMvLnJlbHNQSwECLQAUAAYACAAAACEAgUxvhccBAADiAwAADgAA&#10;AAAAAAAAAAAAAAAuAgAAZHJzL2Uyb0RvYy54bWxQSwECLQAUAAYACAAAACEA1F1f4uMAAAASAQAA&#10;DwAAAAAAAAAAAAAAAAAhBAAAZHJzL2Rvd25yZXYueG1sUEsFBgAAAAAEAAQA8wAAADEFAAAAAA==&#10;" strokecolor="#182e65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5B529" wp14:editId="4E73D83C">
              <wp:simplePos x="0" y="0"/>
              <wp:positionH relativeFrom="column">
                <wp:posOffset>-922020</wp:posOffset>
              </wp:positionH>
              <wp:positionV relativeFrom="paragraph">
                <wp:posOffset>923591</wp:posOffset>
              </wp:positionV>
              <wp:extent cx="8770493" cy="5334"/>
              <wp:effectExtent l="50800" t="38100" r="31115" b="83820"/>
              <wp:wrapNone/>
              <wp:docPr id="148692095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70493" cy="5334"/>
                      </a:xfrm>
                      <a:prstGeom prst="line">
                        <a:avLst/>
                      </a:prstGeom>
                      <a:ln>
                        <a:solidFill>
                          <a:srgbClr val="182E6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8A1F0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6pt,72.7pt" to="618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+FxwEAAOIDAAAOAAAAZHJzL2Uyb0RvYy54bWysU8tu2zAQvBfoPxC815TtPBzBcg5J00vR&#10;BunjTlNLiwBfIFlL/vsuKVkJ2qIBil4WIrkzuzO72t4ORpMjhKicbehyUVECVrhW2UNDv319eLeh&#10;JCZuW66dhYaeINLb3ds3297XsHKd0y0EgiQ21r1vaJeSrxmLogPD48J5sPgoXTA84TEcWBt4j+xG&#10;s1VVXbHehdYHJyBGvL0fH+mu8EsJIn2WMkIiuqHYWyoxlLjPke22vD4E7jslpjb4P3RhuLJYdKa6&#10;54mTH0H9RmWUCC46mRbCGeakVAKKBlSzrH5R86XjHooWNCf62ab4/2jFp+OdfQxoQ+9jHf1jyCoG&#10;GQyRWvnvONOiCzslQ7HtNNsGQyICLzfX19XFzZoSgW+X6/VFdpWNLJnNh5g+gDMkfzRUK5tF8Zof&#10;P8Y0pp5T8rW2OUanVfugtC6HcNjf6UCOHMe43KzeX11ONV6kYcUMZc9Cylc6aRhpn0AS1WLDq1K+&#10;7BjMtFwIsGk58WqL2RkmsYUZWL0OnPIzFMr+zeDRyL9WnRGlsrNpBhtlXfhT9TScW5Zj/tmBUXe2&#10;YO/aUxlxsQYXqUxnWvq8qS/PBf78a+5+AgAA//8DAFBLAwQUAAYACAAAACEASrnJ7uQAAAASAQAA&#10;DwAAAGRycy9kb3ducmV2LnhtbExPPU/DMBDdkfgP1iGxtU5cN1RpnAqBmCqQGujQzUmOJBDbUey2&#10;4d9zmWA56e69ex/ZbjI9u+DoO2cVxMsIGNrK1Z1tFHy8vyw2wHzQtta9s6jgBz3s8tubTKe1u9oD&#10;XorQMBKxPtUK2hCGlHNftWi0X7oBLWGfbjQ60Do2vB71lcRNz0UUJdzozpJDqwd8arH6Ls5Gge+K&#10;L5Qn8xDz4+vbRor9qhR7pe7vpuctjcctsIBT+PuAuQPlh5yCle5sa896BYtYrgVxCZFrCWymiFVC&#10;Jcv5lAjgecb/V8l/AQAA//8DAFBLAQItABQABgAIAAAAIQC2gziS/gAAAOEBAAATAAAAAAAAAAAA&#10;AAAAAAAAAABbQ29udGVudF9UeXBlc10ueG1sUEsBAi0AFAAGAAgAAAAhADj9If/WAAAAlAEAAAsA&#10;AAAAAAAAAAAAAAAALwEAAF9yZWxzLy5yZWxzUEsBAi0AFAAGAAgAAAAhAIFMb4XHAQAA4gMAAA4A&#10;AAAAAAAAAAAAAAAALgIAAGRycy9lMm9Eb2MueG1sUEsBAi0AFAAGAAgAAAAhAEq5ye7kAAAAEgEA&#10;AA8AAAAAAAAAAAAAAAAAIQQAAGRycy9kb3ducmV2LnhtbFBLBQYAAAAABAAEAPMAAAAyBQAAAAA=&#10;" strokecolor="#182e65" strokeweight="1pt">
              <v:stroke joinstyle="miter"/>
            </v:line>
          </w:pict>
        </mc:Fallback>
      </mc:AlternateContent>
    </w:r>
    <w:r w:rsidRPr="00C75E2E">
      <w:rPr>
        <w:noProof/>
      </w:rPr>
      <w:drawing>
        <wp:inline distT="0" distB="0" distL="0" distR="0" wp14:anchorId="4D3B56AE" wp14:editId="787925BA">
          <wp:extent cx="4395537" cy="781680"/>
          <wp:effectExtent l="0" t="0" r="0" b="6350"/>
          <wp:docPr id="1502655782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835790" name="Picture 5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1108" cy="80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2D"/>
    <w:multiLevelType w:val="hybridMultilevel"/>
    <w:tmpl w:val="0464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221"/>
    <w:multiLevelType w:val="hybridMultilevel"/>
    <w:tmpl w:val="BC68538E"/>
    <w:lvl w:ilvl="0" w:tplc="885A79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6F1"/>
    <w:multiLevelType w:val="hybridMultilevel"/>
    <w:tmpl w:val="FB8E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150A"/>
    <w:multiLevelType w:val="hybridMultilevel"/>
    <w:tmpl w:val="A68C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A73"/>
    <w:multiLevelType w:val="hybridMultilevel"/>
    <w:tmpl w:val="09E0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C220D"/>
    <w:multiLevelType w:val="hybridMultilevel"/>
    <w:tmpl w:val="FE327822"/>
    <w:lvl w:ilvl="0" w:tplc="1EDAF9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459AD"/>
    <w:multiLevelType w:val="hybridMultilevel"/>
    <w:tmpl w:val="F316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A0128"/>
    <w:multiLevelType w:val="hybridMultilevel"/>
    <w:tmpl w:val="242C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5007"/>
    <w:multiLevelType w:val="hybridMultilevel"/>
    <w:tmpl w:val="AB24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2769"/>
    <w:multiLevelType w:val="hybridMultilevel"/>
    <w:tmpl w:val="6194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125"/>
    <w:multiLevelType w:val="hybridMultilevel"/>
    <w:tmpl w:val="0BC6E9E2"/>
    <w:lvl w:ilvl="0" w:tplc="1EDAF9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72A2E"/>
    <w:multiLevelType w:val="hybridMultilevel"/>
    <w:tmpl w:val="FB56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11676"/>
    <w:multiLevelType w:val="hybridMultilevel"/>
    <w:tmpl w:val="DFCC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34845"/>
    <w:multiLevelType w:val="hybridMultilevel"/>
    <w:tmpl w:val="8BEC491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1597D48"/>
    <w:multiLevelType w:val="hybridMultilevel"/>
    <w:tmpl w:val="A3348A7A"/>
    <w:lvl w:ilvl="0" w:tplc="DBCA51F6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76BAF"/>
    <w:multiLevelType w:val="hybridMultilevel"/>
    <w:tmpl w:val="BCD6F50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99A3EB3"/>
    <w:multiLevelType w:val="hybridMultilevel"/>
    <w:tmpl w:val="2620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153C2"/>
    <w:multiLevelType w:val="hybridMultilevel"/>
    <w:tmpl w:val="0FE2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75413"/>
    <w:multiLevelType w:val="hybridMultilevel"/>
    <w:tmpl w:val="4D949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A7B94"/>
    <w:multiLevelType w:val="hybridMultilevel"/>
    <w:tmpl w:val="660A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B4168"/>
    <w:multiLevelType w:val="hybridMultilevel"/>
    <w:tmpl w:val="08C010EC"/>
    <w:lvl w:ilvl="0" w:tplc="1EDAF9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63DA6"/>
    <w:multiLevelType w:val="hybridMultilevel"/>
    <w:tmpl w:val="87AA155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3FDE75B5"/>
    <w:multiLevelType w:val="hybridMultilevel"/>
    <w:tmpl w:val="C50A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F450A"/>
    <w:multiLevelType w:val="hybridMultilevel"/>
    <w:tmpl w:val="96F6F86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4CFA65A3"/>
    <w:multiLevelType w:val="hybridMultilevel"/>
    <w:tmpl w:val="DB4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54F24"/>
    <w:multiLevelType w:val="hybridMultilevel"/>
    <w:tmpl w:val="C88C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004F6"/>
    <w:multiLevelType w:val="hybridMultilevel"/>
    <w:tmpl w:val="633A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E23A4"/>
    <w:multiLevelType w:val="multilevel"/>
    <w:tmpl w:val="086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6F393C"/>
    <w:multiLevelType w:val="hybridMultilevel"/>
    <w:tmpl w:val="E5C8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06CC2"/>
    <w:multiLevelType w:val="hybridMultilevel"/>
    <w:tmpl w:val="1990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65C1E"/>
    <w:multiLevelType w:val="hybridMultilevel"/>
    <w:tmpl w:val="82E05F2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62076E9B"/>
    <w:multiLevelType w:val="hybridMultilevel"/>
    <w:tmpl w:val="FCD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36648"/>
    <w:multiLevelType w:val="hybridMultilevel"/>
    <w:tmpl w:val="2646C12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 w15:restartNumberingAfterBreak="0">
    <w:nsid w:val="6CCE596A"/>
    <w:multiLevelType w:val="hybridMultilevel"/>
    <w:tmpl w:val="C4B0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219A8"/>
    <w:multiLevelType w:val="hybridMultilevel"/>
    <w:tmpl w:val="0E60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0DF"/>
    <w:multiLevelType w:val="hybridMultilevel"/>
    <w:tmpl w:val="128862B4"/>
    <w:lvl w:ilvl="0" w:tplc="1EDAF9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469E4"/>
    <w:multiLevelType w:val="hybridMultilevel"/>
    <w:tmpl w:val="512A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F204B"/>
    <w:multiLevelType w:val="hybridMultilevel"/>
    <w:tmpl w:val="3CE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439797">
    <w:abstractNumId w:val="14"/>
  </w:num>
  <w:num w:numId="2" w16cid:durableId="421342681">
    <w:abstractNumId w:val="11"/>
  </w:num>
  <w:num w:numId="3" w16cid:durableId="499276551">
    <w:abstractNumId w:val="34"/>
  </w:num>
  <w:num w:numId="4" w16cid:durableId="72970101">
    <w:abstractNumId w:val="18"/>
  </w:num>
  <w:num w:numId="5" w16cid:durableId="1613440497">
    <w:abstractNumId w:val="24"/>
  </w:num>
  <w:num w:numId="6" w16cid:durableId="1743527707">
    <w:abstractNumId w:val="4"/>
  </w:num>
  <w:num w:numId="7" w16cid:durableId="1679231446">
    <w:abstractNumId w:val="2"/>
  </w:num>
  <w:num w:numId="8" w16cid:durableId="1094547901">
    <w:abstractNumId w:val="13"/>
  </w:num>
  <w:num w:numId="9" w16cid:durableId="1629042859">
    <w:abstractNumId w:val="1"/>
  </w:num>
  <w:num w:numId="10" w16cid:durableId="1021203935">
    <w:abstractNumId w:val="28"/>
  </w:num>
  <w:num w:numId="11" w16cid:durableId="1000501257">
    <w:abstractNumId w:val="25"/>
  </w:num>
  <w:num w:numId="12" w16cid:durableId="930506357">
    <w:abstractNumId w:val="33"/>
  </w:num>
  <w:num w:numId="13" w16cid:durableId="1847818490">
    <w:abstractNumId w:val="26"/>
  </w:num>
  <w:num w:numId="14" w16cid:durableId="2078284608">
    <w:abstractNumId w:val="8"/>
  </w:num>
  <w:num w:numId="15" w16cid:durableId="663314551">
    <w:abstractNumId w:val="3"/>
  </w:num>
  <w:num w:numId="16" w16cid:durableId="1563564503">
    <w:abstractNumId w:val="6"/>
  </w:num>
  <w:num w:numId="17" w16cid:durableId="331101649">
    <w:abstractNumId w:val="22"/>
  </w:num>
  <w:num w:numId="18" w16cid:durableId="1167943222">
    <w:abstractNumId w:val="37"/>
  </w:num>
  <w:num w:numId="19" w16cid:durableId="506676776">
    <w:abstractNumId w:val="17"/>
  </w:num>
  <w:num w:numId="20" w16cid:durableId="66341141">
    <w:abstractNumId w:val="30"/>
  </w:num>
  <w:num w:numId="21" w16cid:durableId="1455060491">
    <w:abstractNumId w:val="29"/>
  </w:num>
  <w:num w:numId="22" w16cid:durableId="855583864">
    <w:abstractNumId w:val="19"/>
  </w:num>
  <w:num w:numId="23" w16cid:durableId="566646553">
    <w:abstractNumId w:val="20"/>
  </w:num>
  <w:num w:numId="24" w16cid:durableId="1356082225">
    <w:abstractNumId w:val="10"/>
  </w:num>
  <w:num w:numId="25" w16cid:durableId="853231727">
    <w:abstractNumId w:val="5"/>
  </w:num>
  <w:num w:numId="26" w16cid:durableId="399593590">
    <w:abstractNumId w:val="35"/>
  </w:num>
  <w:num w:numId="27" w16cid:durableId="598679663">
    <w:abstractNumId w:val="36"/>
  </w:num>
  <w:num w:numId="28" w16cid:durableId="1296914876">
    <w:abstractNumId w:val="21"/>
  </w:num>
  <w:num w:numId="29" w16cid:durableId="342784542">
    <w:abstractNumId w:val="16"/>
  </w:num>
  <w:num w:numId="30" w16cid:durableId="819689215">
    <w:abstractNumId w:val="32"/>
  </w:num>
  <w:num w:numId="31" w16cid:durableId="1954247811">
    <w:abstractNumId w:val="9"/>
  </w:num>
  <w:num w:numId="32" w16cid:durableId="42562445">
    <w:abstractNumId w:val="23"/>
  </w:num>
  <w:num w:numId="33" w16cid:durableId="1087732958">
    <w:abstractNumId w:val="15"/>
  </w:num>
  <w:num w:numId="34" w16cid:durableId="754712766">
    <w:abstractNumId w:val="12"/>
  </w:num>
  <w:num w:numId="35" w16cid:durableId="2096172321">
    <w:abstractNumId w:val="31"/>
  </w:num>
  <w:num w:numId="36" w16cid:durableId="983314312">
    <w:abstractNumId w:val="27"/>
  </w:num>
  <w:num w:numId="37" w16cid:durableId="2055231160">
    <w:abstractNumId w:val="7"/>
  </w:num>
  <w:num w:numId="38" w16cid:durableId="3712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2"/>
    <w:rsid w:val="00000412"/>
    <w:rsid w:val="00001394"/>
    <w:rsid w:val="0001550E"/>
    <w:rsid w:val="00015EAB"/>
    <w:rsid w:val="00016AA8"/>
    <w:rsid w:val="00017A1D"/>
    <w:rsid w:val="00027059"/>
    <w:rsid w:val="00027A66"/>
    <w:rsid w:val="00027CC4"/>
    <w:rsid w:val="000337D7"/>
    <w:rsid w:val="0003492A"/>
    <w:rsid w:val="00042B29"/>
    <w:rsid w:val="00053143"/>
    <w:rsid w:val="00056971"/>
    <w:rsid w:val="00060CB4"/>
    <w:rsid w:val="0006609D"/>
    <w:rsid w:val="00066983"/>
    <w:rsid w:val="00067AC4"/>
    <w:rsid w:val="00070535"/>
    <w:rsid w:val="00077700"/>
    <w:rsid w:val="0008025C"/>
    <w:rsid w:val="0008342E"/>
    <w:rsid w:val="000931CD"/>
    <w:rsid w:val="00097DB8"/>
    <w:rsid w:val="000A11BC"/>
    <w:rsid w:val="000A1F7C"/>
    <w:rsid w:val="000A49C3"/>
    <w:rsid w:val="000B1B16"/>
    <w:rsid w:val="000B20E4"/>
    <w:rsid w:val="000B2D41"/>
    <w:rsid w:val="000B45E5"/>
    <w:rsid w:val="000B64FB"/>
    <w:rsid w:val="000B6A46"/>
    <w:rsid w:val="000B6E54"/>
    <w:rsid w:val="000B73B4"/>
    <w:rsid w:val="000C4856"/>
    <w:rsid w:val="000C5821"/>
    <w:rsid w:val="000D1734"/>
    <w:rsid w:val="000D1F43"/>
    <w:rsid w:val="000D20F7"/>
    <w:rsid w:val="000D394C"/>
    <w:rsid w:val="000D5090"/>
    <w:rsid w:val="000D544B"/>
    <w:rsid w:val="000D6C5C"/>
    <w:rsid w:val="000E0F6B"/>
    <w:rsid w:val="000E270A"/>
    <w:rsid w:val="000E5AB7"/>
    <w:rsid w:val="000E7504"/>
    <w:rsid w:val="000F1244"/>
    <w:rsid w:val="000F2131"/>
    <w:rsid w:val="000F2319"/>
    <w:rsid w:val="000F4D4D"/>
    <w:rsid w:val="000F6848"/>
    <w:rsid w:val="000F7551"/>
    <w:rsid w:val="0010143F"/>
    <w:rsid w:val="00102707"/>
    <w:rsid w:val="00102E3B"/>
    <w:rsid w:val="00103690"/>
    <w:rsid w:val="00110ED4"/>
    <w:rsid w:val="0011121A"/>
    <w:rsid w:val="00116DCF"/>
    <w:rsid w:val="00121BFC"/>
    <w:rsid w:val="001222EA"/>
    <w:rsid w:val="00122C3A"/>
    <w:rsid w:val="0012359C"/>
    <w:rsid w:val="00124A19"/>
    <w:rsid w:val="00125DD4"/>
    <w:rsid w:val="00125F96"/>
    <w:rsid w:val="00132990"/>
    <w:rsid w:val="001331F3"/>
    <w:rsid w:val="00140005"/>
    <w:rsid w:val="00141A4A"/>
    <w:rsid w:val="00144196"/>
    <w:rsid w:val="00144F22"/>
    <w:rsid w:val="00146D30"/>
    <w:rsid w:val="001548D9"/>
    <w:rsid w:val="00155248"/>
    <w:rsid w:val="00160817"/>
    <w:rsid w:val="0016719E"/>
    <w:rsid w:val="001671A6"/>
    <w:rsid w:val="0016772F"/>
    <w:rsid w:val="0017186E"/>
    <w:rsid w:val="00182820"/>
    <w:rsid w:val="0018299B"/>
    <w:rsid w:val="00184966"/>
    <w:rsid w:val="00184BB0"/>
    <w:rsid w:val="001926B6"/>
    <w:rsid w:val="00197719"/>
    <w:rsid w:val="001A033A"/>
    <w:rsid w:val="001A2F8C"/>
    <w:rsid w:val="001A3C65"/>
    <w:rsid w:val="001A4272"/>
    <w:rsid w:val="001A5BF0"/>
    <w:rsid w:val="001B02C2"/>
    <w:rsid w:val="001B10EA"/>
    <w:rsid w:val="001B27CF"/>
    <w:rsid w:val="001B2928"/>
    <w:rsid w:val="001B4E34"/>
    <w:rsid w:val="001B6E99"/>
    <w:rsid w:val="001C0B03"/>
    <w:rsid w:val="001C25F7"/>
    <w:rsid w:val="001D3B77"/>
    <w:rsid w:val="001E152A"/>
    <w:rsid w:val="001F1D07"/>
    <w:rsid w:val="001F6025"/>
    <w:rsid w:val="001F7456"/>
    <w:rsid w:val="00201DB9"/>
    <w:rsid w:val="00204DBC"/>
    <w:rsid w:val="00207639"/>
    <w:rsid w:val="00214E70"/>
    <w:rsid w:val="0021679A"/>
    <w:rsid w:val="002202AB"/>
    <w:rsid w:val="0022709E"/>
    <w:rsid w:val="00237FB4"/>
    <w:rsid w:val="00250BBF"/>
    <w:rsid w:val="00254485"/>
    <w:rsid w:val="00266446"/>
    <w:rsid w:val="00266DF4"/>
    <w:rsid w:val="002708F5"/>
    <w:rsid w:val="00271C73"/>
    <w:rsid w:val="002722F2"/>
    <w:rsid w:val="002735C1"/>
    <w:rsid w:val="00274562"/>
    <w:rsid w:val="00280549"/>
    <w:rsid w:val="00286213"/>
    <w:rsid w:val="002904AA"/>
    <w:rsid w:val="00291C7E"/>
    <w:rsid w:val="0029374C"/>
    <w:rsid w:val="002969DD"/>
    <w:rsid w:val="00297BDA"/>
    <w:rsid w:val="002A7598"/>
    <w:rsid w:val="002B0B5D"/>
    <w:rsid w:val="002B3533"/>
    <w:rsid w:val="002B4B84"/>
    <w:rsid w:val="002B78FC"/>
    <w:rsid w:val="002C1A86"/>
    <w:rsid w:val="002C325A"/>
    <w:rsid w:val="002D0033"/>
    <w:rsid w:val="002D0C34"/>
    <w:rsid w:val="002E0F50"/>
    <w:rsid w:val="002E446E"/>
    <w:rsid w:val="002E4747"/>
    <w:rsid w:val="002E5DD0"/>
    <w:rsid w:val="002F2799"/>
    <w:rsid w:val="002F51AD"/>
    <w:rsid w:val="002F69CC"/>
    <w:rsid w:val="00301657"/>
    <w:rsid w:val="0030315F"/>
    <w:rsid w:val="003032A3"/>
    <w:rsid w:val="00303C4A"/>
    <w:rsid w:val="00303F43"/>
    <w:rsid w:val="00304B86"/>
    <w:rsid w:val="003119AC"/>
    <w:rsid w:val="003138B5"/>
    <w:rsid w:val="00313B06"/>
    <w:rsid w:val="0031689F"/>
    <w:rsid w:val="00322828"/>
    <w:rsid w:val="00322AB5"/>
    <w:rsid w:val="00322E4F"/>
    <w:rsid w:val="003244B8"/>
    <w:rsid w:val="00324CE9"/>
    <w:rsid w:val="0032574C"/>
    <w:rsid w:val="00325C2D"/>
    <w:rsid w:val="00333A73"/>
    <w:rsid w:val="00333A82"/>
    <w:rsid w:val="00336027"/>
    <w:rsid w:val="00340A95"/>
    <w:rsid w:val="003415D9"/>
    <w:rsid w:val="00343013"/>
    <w:rsid w:val="00350C66"/>
    <w:rsid w:val="003524EC"/>
    <w:rsid w:val="00356706"/>
    <w:rsid w:val="00362C42"/>
    <w:rsid w:val="00371926"/>
    <w:rsid w:val="00373BE9"/>
    <w:rsid w:val="00375BE8"/>
    <w:rsid w:val="003817D3"/>
    <w:rsid w:val="00382550"/>
    <w:rsid w:val="00383B23"/>
    <w:rsid w:val="00383FB0"/>
    <w:rsid w:val="00384134"/>
    <w:rsid w:val="00392D1F"/>
    <w:rsid w:val="003931F9"/>
    <w:rsid w:val="003A039B"/>
    <w:rsid w:val="003A2A4E"/>
    <w:rsid w:val="003B0FE5"/>
    <w:rsid w:val="003B2EA3"/>
    <w:rsid w:val="003B2FA3"/>
    <w:rsid w:val="003B3887"/>
    <w:rsid w:val="003B3E00"/>
    <w:rsid w:val="003B4B02"/>
    <w:rsid w:val="003B7080"/>
    <w:rsid w:val="003B72FA"/>
    <w:rsid w:val="003B75D7"/>
    <w:rsid w:val="003C4925"/>
    <w:rsid w:val="003C4FB5"/>
    <w:rsid w:val="003D04F8"/>
    <w:rsid w:val="003D1481"/>
    <w:rsid w:val="003D33F1"/>
    <w:rsid w:val="003D610E"/>
    <w:rsid w:val="003E08AE"/>
    <w:rsid w:val="003E2432"/>
    <w:rsid w:val="003E6282"/>
    <w:rsid w:val="003E6ABC"/>
    <w:rsid w:val="003E7FA1"/>
    <w:rsid w:val="003F4AFF"/>
    <w:rsid w:val="00404951"/>
    <w:rsid w:val="00410545"/>
    <w:rsid w:val="00410C2D"/>
    <w:rsid w:val="00413E2C"/>
    <w:rsid w:val="00414984"/>
    <w:rsid w:val="00415DC9"/>
    <w:rsid w:val="004172D7"/>
    <w:rsid w:val="00422157"/>
    <w:rsid w:val="004361EA"/>
    <w:rsid w:val="00441F22"/>
    <w:rsid w:val="004437CF"/>
    <w:rsid w:val="00444902"/>
    <w:rsid w:val="00445C56"/>
    <w:rsid w:val="00453651"/>
    <w:rsid w:val="004555EF"/>
    <w:rsid w:val="00455AA4"/>
    <w:rsid w:val="0046436D"/>
    <w:rsid w:val="004645EF"/>
    <w:rsid w:val="00467B89"/>
    <w:rsid w:val="004704D6"/>
    <w:rsid w:val="004749C5"/>
    <w:rsid w:val="004769FC"/>
    <w:rsid w:val="00483F69"/>
    <w:rsid w:val="004840B6"/>
    <w:rsid w:val="004933C6"/>
    <w:rsid w:val="004939F7"/>
    <w:rsid w:val="00496A39"/>
    <w:rsid w:val="004971CA"/>
    <w:rsid w:val="00497368"/>
    <w:rsid w:val="004A435C"/>
    <w:rsid w:val="004A6E61"/>
    <w:rsid w:val="004A7022"/>
    <w:rsid w:val="004B3653"/>
    <w:rsid w:val="004B57C8"/>
    <w:rsid w:val="004B5889"/>
    <w:rsid w:val="004B621C"/>
    <w:rsid w:val="004C2A81"/>
    <w:rsid w:val="004C43AC"/>
    <w:rsid w:val="004C5CBA"/>
    <w:rsid w:val="004D357A"/>
    <w:rsid w:val="004D55F2"/>
    <w:rsid w:val="004D6557"/>
    <w:rsid w:val="004E06B5"/>
    <w:rsid w:val="004E114F"/>
    <w:rsid w:val="004E158A"/>
    <w:rsid w:val="004E50BC"/>
    <w:rsid w:val="004E5EFB"/>
    <w:rsid w:val="004F1722"/>
    <w:rsid w:val="004F306D"/>
    <w:rsid w:val="00501785"/>
    <w:rsid w:val="005049F2"/>
    <w:rsid w:val="005052A5"/>
    <w:rsid w:val="00507585"/>
    <w:rsid w:val="005112E7"/>
    <w:rsid w:val="00524D19"/>
    <w:rsid w:val="00525729"/>
    <w:rsid w:val="00526754"/>
    <w:rsid w:val="00534404"/>
    <w:rsid w:val="00534AF2"/>
    <w:rsid w:val="00537E03"/>
    <w:rsid w:val="00542DE0"/>
    <w:rsid w:val="00543C9E"/>
    <w:rsid w:val="00544102"/>
    <w:rsid w:val="005446D0"/>
    <w:rsid w:val="00550D04"/>
    <w:rsid w:val="00552196"/>
    <w:rsid w:val="005521E9"/>
    <w:rsid w:val="00553021"/>
    <w:rsid w:val="005530AD"/>
    <w:rsid w:val="00555551"/>
    <w:rsid w:val="00556571"/>
    <w:rsid w:val="00556BC9"/>
    <w:rsid w:val="005579B9"/>
    <w:rsid w:val="00560D46"/>
    <w:rsid w:val="00561CCA"/>
    <w:rsid w:val="0056201D"/>
    <w:rsid w:val="00563637"/>
    <w:rsid w:val="00563B21"/>
    <w:rsid w:val="00567101"/>
    <w:rsid w:val="00570A13"/>
    <w:rsid w:val="00573E4B"/>
    <w:rsid w:val="00576280"/>
    <w:rsid w:val="00580F92"/>
    <w:rsid w:val="00582DFB"/>
    <w:rsid w:val="0058362A"/>
    <w:rsid w:val="00584068"/>
    <w:rsid w:val="00586914"/>
    <w:rsid w:val="005912B4"/>
    <w:rsid w:val="00597B76"/>
    <w:rsid w:val="005A0362"/>
    <w:rsid w:val="005A110B"/>
    <w:rsid w:val="005A149E"/>
    <w:rsid w:val="005A3C01"/>
    <w:rsid w:val="005A5BE5"/>
    <w:rsid w:val="005A7AD3"/>
    <w:rsid w:val="005B095F"/>
    <w:rsid w:val="005B3BCA"/>
    <w:rsid w:val="005B45BE"/>
    <w:rsid w:val="005B48FE"/>
    <w:rsid w:val="005C02EF"/>
    <w:rsid w:val="005C4327"/>
    <w:rsid w:val="005C64F2"/>
    <w:rsid w:val="005E2199"/>
    <w:rsid w:val="005E5196"/>
    <w:rsid w:val="005E555E"/>
    <w:rsid w:val="005E6AE4"/>
    <w:rsid w:val="005F1541"/>
    <w:rsid w:val="005F2D99"/>
    <w:rsid w:val="0060202E"/>
    <w:rsid w:val="006048ED"/>
    <w:rsid w:val="006074BB"/>
    <w:rsid w:val="006224FB"/>
    <w:rsid w:val="00622D1B"/>
    <w:rsid w:val="00625FBA"/>
    <w:rsid w:val="00626F80"/>
    <w:rsid w:val="00630A19"/>
    <w:rsid w:val="006359F1"/>
    <w:rsid w:val="0063622C"/>
    <w:rsid w:val="00636AA1"/>
    <w:rsid w:val="006417E5"/>
    <w:rsid w:val="00641F7A"/>
    <w:rsid w:val="00650937"/>
    <w:rsid w:val="00650D7B"/>
    <w:rsid w:val="00653EAC"/>
    <w:rsid w:val="0065483A"/>
    <w:rsid w:val="00655971"/>
    <w:rsid w:val="00657E85"/>
    <w:rsid w:val="006645FF"/>
    <w:rsid w:val="00664C22"/>
    <w:rsid w:val="006715CC"/>
    <w:rsid w:val="0067358A"/>
    <w:rsid w:val="00676EE5"/>
    <w:rsid w:val="00677E3B"/>
    <w:rsid w:val="00677FD0"/>
    <w:rsid w:val="0068194C"/>
    <w:rsid w:val="00681FCE"/>
    <w:rsid w:val="00682085"/>
    <w:rsid w:val="00684FF5"/>
    <w:rsid w:val="00691C30"/>
    <w:rsid w:val="00691E93"/>
    <w:rsid w:val="006932E0"/>
    <w:rsid w:val="00695AEA"/>
    <w:rsid w:val="006A1211"/>
    <w:rsid w:val="006A42B9"/>
    <w:rsid w:val="006A5203"/>
    <w:rsid w:val="006A65C4"/>
    <w:rsid w:val="006B0F7E"/>
    <w:rsid w:val="006B4E9E"/>
    <w:rsid w:val="006C54E8"/>
    <w:rsid w:val="006D178D"/>
    <w:rsid w:val="006D2EE8"/>
    <w:rsid w:val="006E283A"/>
    <w:rsid w:val="006E45EA"/>
    <w:rsid w:val="006E5562"/>
    <w:rsid w:val="006F3905"/>
    <w:rsid w:val="006F5D9F"/>
    <w:rsid w:val="00701DDA"/>
    <w:rsid w:val="00704198"/>
    <w:rsid w:val="00704741"/>
    <w:rsid w:val="0070548E"/>
    <w:rsid w:val="00706E99"/>
    <w:rsid w:val="0070778B"/>
    <w:rsid w:val="00707B2B"/>
    <w:rsid w:val="00721168"/>
    <w:rsid w:val="007275AE"/>
    <w:rsid w:val="0073026D"/>
    <w:rsid w:val="0073256A"/>
    <w:rsid w:val="00733094"/>
    <w:rsid w:val="00735339"/>
    <w:rsid w:val="007358DD"/>
    <w:rsid w:val="00736259"/>
    <w:rsid w:val="0074092E"/>
    <w:rsid w:val="00743FE1"/>
    <w:rsid w:val="007444BA"/>
    <w:rsid w:val="00745361"/>
    <w:rsid w:val="00746215"/>
    <w:rsid w:val="00750021"/>
    <w:rsid w:val="00750E79"/>
    <w:rsid w:val="0075597D"/>
    <w:rsid w:val="00755F76"/>
    <w:rsid w:val="007572C6"/>
    <w:rsid w:val="00763974"/>
    <w:rsid w:val="00765D3E"/>
    <w:rsid w:val="0076639E"/>
    <w:rsid w:val="00770E2C"/>
    <w:rsid w:val="007725B3"/>
    <w:rsid w:val="007810EC"/>
    <w:rsid w:val="007812A0"/>
    <w:rsid w:val="0078283F"/>
    <w:rsid w:val="00784D34"/>
    <w:rsid w:val="007851BF"/>
    <w:rsid w:val="0078735C"/>
    <w:rsid w:val="00794D65"/>
    <w:rsid w:val="007A31CC"/>
    <w:rsid w:val="007A37E0"/>
    <w:rsid w:val="007A3919"/>
    <w:rsid w:val="007A3E0B"/>
    <w:rsid w:val="007A70C7"/>
    <w:rsid w:val="007B2109"/>
    <w:rsid w:val="007B40B7"/>
    <w:rsid w:val="007B53C8"/>
    <w:rsid w:val="007B697B"/>
    <w:rsid w:val="007C08F4"/>
    <w:rsid w:val="007C4D4A"/>
    <w:rsid w:val="007C69D6"/>
    <w:rsid w:val="007D0849"/>
    <w:rsid w:val="007D2085"/>
    <w:rsid w:val="007D5E4B"/>
    <w:rsid w:val="007E12FA"/>
    <w:rsid w:val="007E192C"/>
    <w:rsid w:val="007E2F52"/>
    <w:rsid w:val="007E5B43"/>
    <w:rsid w:val="007E5EFD"/>
    <w:rsid w:val="007E60D8"/>
    <w:rsid w:val="007F06CA"/>
    <w:rsid w:val="007F2AA9"/>
    <w:rsid w:val="007F371C"/>
    <w:rsid w:val="007F71FB"/>
    <w:rsid w:val="007F722C"/>
    <w:rsid w:val="00802B14"/>
    <w:rsid w:val="008049B2"/>
    <w:rsid w:val="00806BD2"/>
    <w:rsid w:val="00817031"/>
    <w:rsid w:val="008278CA"/>
    <w:rsid w:val="008319A0"/>
    <w:rsid w:val="00842525"/>
    <w:rsid w:val="00844A06"/>
    <w:rsid w:val="00851631"/>
    <w:rsid w:val="00852DD5"/>
    <w:rsid w:val="00854942"/>
    <w:rsid w:val="008619F7"/>
    <w:rsid w:val="00861FC6"/>
    <w:rsid w:val="00862019"/>
    <w:rsid w:val="00862765"/>
    <w:rsid w:val="008657C8"/>
    <w:rsid w:val="00867526"/>
    <w:rsid w:val="0087419F"/>
    <w:rsid w:val="0087752F"/>
    <w:rsid w:val="00880EFE"/>
    <w:rsid w:val="00884EDA"/>
    <w:rsid w:val="0089061F"/>
    <w:rsid w:val="008A1D1A"/>
    <w:rsid w:val="008A1FEB"/>
    <w:rsid w:val="008A220D"/>
    <w:rsid w:val="008A3535"/>
    <w:rsid w:val="008B10ED"/>
    <w:rsid w:val="008B1355"/>
    <w:rsid w:val="008B28E5"/>
    <w:rsid w:val="008C12C9"/>
    <w:rsid w:val="008C5EB5"/>
    <w:rsid w:val="008D0196"/>
    <w:rsid w:val="008D027C"/>
    <w:rsid w:val="008D23E5"/>
    <w:rsid w:val="008D2C34"/>
    <w:rsid w:val="008D4665"/>
    <w:rsid w:val="008D4FD2"/>
    <w:rsid w:val="008E2CF8"/>
    <w:rsid w:val="008E2D25"/>
    <w:rsid w:val="008E60C8"/>
    <w:rsid w:val="008E652E"/>
    <w:rsid w:val="008E65AE"/>
    <w:rsid w:val="008E6863"/>
    <w:rsid w:val="008F24C5"/>
    <w:rsid w:val="008F358D"/>
    <w:rsid w:val="008F7242"/>
    <w:rsid w:val="0090235E"/>
    <w:rsid w:val="0090349C"/>
    <w:rsid w:val="0090702C"/>
    <w:rsid w:val="00907B66"/>
    <w:rsid w:val="0091024B"/>
    <w:rsid w:val="009103BA"/>
    <w:rsid w:val="00914465"/>
    <w:rsid w:val="009151D4"/>
    <w:rsid w:val="00917D08"/>
    <w:rsid w:val="00920B4B"/>
    <w:rsid w:val="0092467D"/>
    <w:rsid w:val="009254D3"/>
    <w:rsid w:val="00926FDC"/>
    <w:rsid w:val="009333EB"/>
    <w:rsid w:val="00934403"/>
    <w:rsid w:val="00935B2A"/>
    <w:rsid w:val="00941CA0"/>
    <w:rsid w:val="0094278A"/>
    <w:rsid w:val="0094572A"/>
    <w:rsid w:val="0095392C"/>
    <w:rsid w:val="00953A27"/>
    <w:rsid w:val="00957008"/>
    <w:rsid w:val="00963002"/>
    <w:rsid w:val="00972F0D"/>
    <w:rsid w:val="00973518"/>
    <w:rsid w:val="00975578"/>
    <w:rsid w:val="00976F3F"/>
    <w:rsid w:val="00977152"/>
    <w:rsid w:val="009776FE"/>
    <w:rsid w:val="0099582D"/>
    <w:rsid w:val="00997D91"/>
    <w:rsid w:val="009A035F"/>
    <w:rsid w:val="009A1DE9"/>
    <w:rsid w:val="009A33FF"/>
    <w:rsid w:val="009A452E"/>
    <w:rsid w:val="009A5797"/>
    <w:rsid w:val="009B480F"/>
    <w:rsid w:val="009B5400"/>
    <w:rsid w:val="009B5FB3"/>
    <w:rsid w:val="009B71C3"/>
    <w:rsid w:val="009C00D0"/>
    <w:rsid w:val="009C053F"/>
    <w:rsid w:val="009C1772"/>
    <w:rsid w:val="009C4404"/>
    <w:rsid w:val="009C65A7"/>
    <w:rsid w:val="009D0B48"/>
    <w:rsid w:val="009D16A2"/>
    <w:rsid w:val="009D589B"/>
    <w:rsid w:val="009E07AD"/>
    <w:rsid w:val="009E1609"/>
    <w:rsid w:val="009E1C11"/>
    <w:rsid w:val="009F4014"/>
    <w:rsid w:val="009F6DE2"/>
    <w:rsid w:val="00A016EB"/>
    <w:rsid w:val="00A02881"/>
    <w:rsid w:val="00A02970"/>
    <w:rsid w:val="00A02BAA"/>
    <w:rsid w:val="00A147A9"/>
    <w:rsid w:val="00A160D3"/>
    <w:rsid w:val="00A2063E"/>
    <w:rsid w:val="00A2116F"/>
    <w:rsid w:val="00A2715A"/>
    <w:rsid w:val="00A30F11"/>
    <w:rsid w:val="00A31461"/>
    <w:rsid w:val="00A3157C"/>
    <w:rsid w:val="00A328B4"/>
    <w:rsid w:val="00A34E6E"/>
    <w:rsid w:val="00A41A09"/>
    <w:rsid w:val="00A432A2"/>
    <w:rsid w:val="00A519BC"/>
    <w:rsid w:val="00A521F0"/>
    <w:rsid w:val="00A523DB"/>
    <w:rsid w:val="00A57487"/>
    <w:rsid w:val="00A60E3F"/>
    <w:rsid w:val="00A64AF8"/>
    <w:rsid w:val="00A652A6"/>
    <w:rsid w:val="00A6664F"/>
    <w:rsid w:val="00A7104E"/>
    <w:rsid w:val="00A74850"/>
    <w:rsid w:val="00A7544F"/>
    <w:rsid w:val="00A77D57"/>
    <w:rsid w:val="00A81061"/>
    <w:rsid w:val="00A81369"/>
    <w:rsid w:val="00A876A1"/>
    <w:rsid w:val="00A911DC"/>
    <w:rsid w:val="00A928A5"/>
    <w:rsid w:val="00A931F1"/>
    <w:rsid w:val="00A95981"/>
    <w:rsid w:val="00AA0593"/>
    <w:rsid w:val="00AA4FF0"/>
    <w:rsid w:val="00AA7B52"/>
    <w:rsid w:val="00AB0761"/>
    <w:rsid w:val="00AB07BF"/>
    <w:rsid w:val="00AB577D"/>
    <w:rsid w:val="00AB6E3C"/>
    <w:rsid w:val="00AB7C92"/>
    <w:rsid w:val="00AC3B7F"/>
    <w:rsid w:val="00AC41C4"/>
    <w:rsid w:val="00AC5CAC"/>
    <w:rsid w:val="00AD023E"/>
    <w:rsid w:val="00AD4CE7"/>
    <w:rsid w:val="00AD618E"/>
    <w:rsid w:val="00AD778F"/>
    <w:rsid w:val="00AE4537"/>
    <w:rsid w:val="00AF4B15"/>
    <w:rsid w:val="00B01553"/>
    <w:rsid w:val="00B02222"/>
    <w:rsid w:val="00B03A9F"/>
    <w:rsid w:val="00B03F49"/>
    <w:rsid w:val="00B04588"/>
    <w:rsid w:val="00B045D5"/>
    <w:rsid w:val="00B10728"/>
    <w:rsid w:val="00B12B72"/>
    <w:rsid w:val="00B12CAA"/>
    <w:rsid w:val="00B1493F"/>
    <w:rsid w:val="00B2533A"/>
    <w:rsid w:val="00B30D1E"/>
    <w:rsid w:val="00B35BE4"/>
    <w:rsid w:val="00B373FF"/>
    <w:rsid w:val="00B416EF"/>
    <w:rsid w:val="00B43823"/>
    <w:rsid w:val="00B551CD"/>
    <w:rsid w:val="00B56418"/>
    <w:rsid w:val="00B61846"/>
    <w:rsid w:val="00B635D4"/>
    <w:rsid w:val="00B65705"/>
    <w:rsid w:val="00B65C8F"/>
    <w:rsid w:val="00B73712"/>
    <w:rsid w:val="00B73742"/>
    <w:rsid w:val="00B77057"/>
    <w:rsid w:val="00B835EF"/>
    <w:rsid w:val="00B84887"/>
    <w:rsid w:val="00B853D4"/>
    <w:rsid w:val="00B85A6B"/>
    <w:rsid w:val="00B85BB5"/>
    <w:rsid w:val="00B867BE"/>
    <w:rsid w:val="00B90E4D"/>
    <w:rsid w:val="00B91282"/>
    <w:rsid w:val="00B915A7"/>
    <w:rsid w:val="00B9184B"/>
    <w:rsid w:val="00B91CA9"/>
    <w:rsid w:val="00B93A63"/>
    <w:rsid w:val="00B94990"/>
    <w:rsid w:val="00B95FE7"/>
    <w:rsid w:val="00B97159"/>
    <w:rsid w:val="00B97DFF"/>
    <w:rsid w:val="00BA034A"/>
    <w:rsid w:val="00BA04BC"/>
    <w:rsid w:val="00BA19A8"/>
    <w:rsid w:val="00BA1DA3"/>
    <w:rsid w:val="00BA2632"/>
    <w:rsid w:val="00BA2DE6"/>
    <w:rsid w:val="00BA554F"/>
    <w:rsid w:val="00BB5E7F"/>
    <w:rsid w:val="00BC10DC"/>
    <w:rsid w:val="00BC14B8"/>
    <w:rsid w:val="00BC1F44"/>
    <w:rsid w:val="00BC2172"/>
    <w:rsid w:val="00BC34DD"/>
    <w:rsid w:val="00BC51F7"/>
    <w:rsid w:val="00BC734D"/>
    <w:rsid w:val="00BD2522"/>
    <w:rsid w:val="00BD7FD0"/>
    <w:rsid w:val="00BE1569"/>
    <w:rsid w:val="00BE1E22"/>
    <w:rsid w:val="00BF314B"/>
    <w:rsid w:val="00BF3466"/>
    <w:rsid w:val="00BF59E0"/>
    <w:rsid w:val="00C002E5"/>
    <w:rsid w:val="00C0140C"/>
    <w:rsid w:val="00C03F59"/>
    <w:rsid w:val="00C0580C"/>
    <w:rsid w:val="00C0708D"/>
    <w:rsid w:val="00C1205C"/>
    <w:rsid w:val="00C13A97"/>
    <w:rsid w:val="00C163C9"/>
    <w:rsid w:val="00C1765D"/>
    <w:rsid w:val="00C20767"/>
    <w:rsid w:val="00C2345F"/>
    <w:rsid w:val="00C23E5B"/>
    <w:rsid w:val="00C2463F"/>
    <w:rsid w:val="00C24A5B"/>
    <w:rsid w:val="00C24AD7"/>
    <w:rsid w:val="00C256BE"/>
    <w:rsid w:val="00C3182D"/>
    <w:rsid w:val="00C31D46"/>
    <w:rsid w:val="00C32D72"/>
    <w:rsid w:val="00C347F0"/>
    <w:rsid w:val="00C35722"/>
    <w:rsid w:val="00C3687D"/>
    <w:rsid w:val="00C37DF6"/>
    <w:rsid w:val="00C53E75"/>
    <w:rsid w:val="00C549A1"/>
    <w:rsid w:val="00C6458B"/>
    <w:rsid w:val="00C6517E"/>
    <w:rsid w:val="00C71843"/>
    <w:rsid w:val="00C71D50"/>
    <w:rsid w:val="00C75E2E"/>
    <w:rsid w:val="00C8518C"/>
    <w:rsid w:val="00C91F7D"/>
    <w:rsid w:val="00C97A5D"/>
    <w:rsid w:val="00C97BB1"/>
    <w:rsid w:val="00C97F90"/>
    <w:rsid w:val="00CA1FC1"/>
    <w:rsid w:val="00CA6B00"/>
    <w:rsid w:val="00CA6C6A"/>
    <w:rsid w:val="00CB1922"/>
    <w:rsid w:val="00CB4B32"/>
    <w:rsid w:val="00CB7EEA"/>
    <w:rsid w:val="00CC1FCB"/>
    <w:rsid w:val="00CC63EF"/>
    <w:rsid w:val="00CC7D8D"/>
    <w:rsid w:val="00CD4978"/>
    <w:rsid w:val="00CE0569"/>
    <w:rsid w:val="00CE3DF1"/>
    <w:rsid w:val="00CE5DF3"/>
    <w:rsid w:val="00CE6761"/>
    <w:rsid w:val="00CF2F8C"/>
    <w:rsid w:val="00CF6D21"/>
    <w:rsid w:val="00D02E21"/>
    <w:rsid w:val="00D02E28"/>
    <w:rsid w:val="00D02FE4"/>
    <w:rsid w:val="00D0308F"/>
    <w:rsid w:val="00D03BAC"/>
    <w:rsid w:val="00D05262"/>
    <w:rsid w:val="00D05ED2"/>
    <w:rsid w:val="00D1623C"/>
    <w:rsid w:val="00D20EB9"/>
    <w:rsid w:val="00D21CF6"/>
    <w:rsid w:val="00D22907"/>
    <w:rsid w:val="00D230A2"/>
    <w:rsid w:val="00D247A4"/>
    <w:rsid w:val="00D3337D"/>
    <w:rsid w:val="00D33713"/>
    <w:rsid w:val="00D342D1"/>
    <w:rsid w:val="00D34B33"/>
    <w:rsid w:val="00D35056"/>
    <w:rsid w:val="00D36201"/>
    <w:rsid w:val="00D4362F"/>
    <w:rsid w:val="00D437BF"/>
    <w:rsid w:val="00D43D36"/>
    <w:rsid w:val="00D455D0"/>
    <w:rsid w:val="00D47E29"/>
    <w:rsid w:val="00D51703"/>
    <w:rsid w:val="00D60D89"/>
    <w:rsid w:val="00D624AF"/>
    <w:rsid w:val="00D63463"/>
    <w:rsid w:val="00D634A9"/>
    <w:rsid w:val="00D638F3"/>
    <w:rsid w:val="00D65531"/>
    <w:rsid w:val="00D6700B"/>
    <w:rsid w:val="00D73229"/>
    <w:rsid w:val="00D7335A"/>
    <w:rsid w:val="00D7346D"/>
    <w:rsid w:val="00D87559"/>
    <w:rsid w:val="00D91E3F"/>
    <w:rsid w:val="00D92285"/>
    <w:rsid w:val="00D92DF0"/>
    <w:rsid w:val="00D97565"/>
    <w:rsid w:val="00D97740"/>
    <w:rsid w:val="00DA4089"/>
    <w:rsid w:val="00DA6885"/>
    <w:rsid w:val="00DB15E3"/>
    <w:rsid w:val="00DB2E13"/>
    <w:rsid w:val="00DB5547"/>
    <w:rsid w:val="00DB5C8F"/>
    <w:rsid w:val="00DB6C76"/>
    <w:rsid w:val="00DC1A44"/>
    <w:rsid w:val="00DC5FD0"/>
    <w:rsid w:val="00DD0BAF"/>
    <w:rsid w:val="00DD1210"/>
    <w:rsid w:val="00DD6090"/>
    <w:rsid w:val="00DD6AC2"/>
    <w:rsid w:val="00DE222F"/>
    <w:rsid w:val="00DE63FE"/>
    <w:rsid w:val="00DE723B"/>
    <w:rsid w:val="00DF2565"/>
    <w:rsid w:val="00DF530A"/>
    <w:rsid w:val="00DF62C8"/>
    <w:rsid w:val="00DF6C3C"/>
    <w:rsid w:val="00DF7AD2"/>
    <w:rsid w:val="00E07099"/>
    <w:rsid w:val="00E10AB5"/>
    <w:rsid w:val="00E20945"/>
    <w:rsid w:val="00E30E23"/>
    <w:rsid w:val="00E33CBD"/>
    <w:rsid w:val="00E35484"/>
    <w:rsid w:val="00E3632C"/>
    <w:rsid w:val="00E36B52"/>
    <w:rsid w:val="00E37E15"/>
    <w:rsid w:val="00E4146B"/>
    <w:rsid w:val="00E459B0"/>
    <w:rsid w:val="00E4748C"/>
    <w:rsid w:val="00E50FEF"/>
    <w:rsid w:val="00E51D26"/>
    <w:rsid w:val="00E51D4A"/>
    <w:rsid w:val="00E52891"/>
    <w:rsid w:val="00E52C9C"/>
    <w:rsid w:val="00E53A87"/>
    <w:rsid w:val="00E54839"/>
    <w:rsid w:val="00E54DA1"/>
    <w:rsid w:val="00E5571A"/>
    <w:rsid w:val="00E56A5B"/>
    <w:rsid w:val="00E57E1C"/>
    <w:rsid w:val="00E608AF"/>
    <w:rsid w:val="00E60CF2"/>
    <w:rsid w:val="00E66746"/>
    <w:rsid w:val="00E66ADA"/>
    <w:rsid w:val="00E7006B"/>
    <w:rsid w:val="00E738CC"/>
    <w:rsid w:val="00E77014"/>
    <w:rsid w:val="00E7733B"/>
    <w:rsid w:val="00E81FB4"/>
    <w:rsid w:val="00E82447"/>
    <w:rsid w:val="00E83B5B"/>
    <w:rsid w:val="00E83FBC"/>
    <w:rsid w:val="00E84D93"/>
    <w:rsid w:val="00E86288"/>
    <w:rsid w:val="00E9472F"/>
    <w:rsid w:val="00EB069D"/>
    <w:rsid w:val="00EB608F"/>
    <w:rsid w:val="00EB6BF8"/>
    <w:rsid w:val="00EB6F83"/>
    <w:rsid w:val="00EC04BC"/>
    <w:rsid w:val="00EC240C"/>
    <w:rsid w:val="00EC367A"/>
    <w:rsid w:val="00EC43F7"/>
    <w:rsid w:val="00EC4D7E"/>
    <w:rsid w:val="00EC5AB3"/>
    <w:rsid w:val="00EC6A99"/>
    <w:rsid w:val="00EC6E1C"/>
    <w:rsid w:val="00ED158E"/>
    <w:rsid w:val="00ED4105"/>
    <w:rsid w:val="00ED433B"/>
    <w:rsid w:val="00ED4654"/>
    <w:rsid w:val="00ED78C8"/>
    <w:rsid w:val="00EE0E98"/>
    <w:rsid w:val="00EF0C83"/>
    <w:rsid w:val="00EF396F"/>
    <w:rsid w:val="00EF3AF3"/>
    <w:rsid w:val="00EF61C2"/>
    <w:rsid w:val="00EF6A7E"/>
    <w:rsid w:val="00EF7BF9"/>
    <w:rsid w:val="00F06ACC"/>
    <w:rsid w:val="00F100A6"/>
    <w:rsid w:val="00F11D47"/>
    <w:rsid w:val="00F122A6"/>
    <w:rsid w:val="00F12E7A"/>
    <w:rsid w:val="00F13B71"/>
    <w:rsid w:val="00F14B46"/>
    <w:rsid w:val="00F14F41"/>
    <w:rsid w:val="00F166A8"/>
    <w:rsid w:val="00F17067"/>
    <w:rsid w:val="00F21B3A"/>
    <w:rsid w:val="00F23BEA"/>
    <w:rsid w:val="00F23E07"/>
    <w:rsid w:val="00F27143"/>
    <w:rsid w:val="00F2737D"/>
    <w:rsid w:val="00F319EA"/>
    <w:rsid w:val="00F34FC9"/>
    <w:rsid w:val="00F41123"/>
    <w:rsid w:val="00F42620"/>
    <w:rsid w:val="00F4319F"/>
    <w:rsid w:val="00F51037"/>
    <w:rsid w:val="00F54E67"/>
    <w:rsid w:val="00F567D4"/>
    <w:rsid w:val="00F57FF0"/>
    <w:rsid w:val="00F65885"/>
    <w:rsid w:val="00F737F1"/>
    <w:rsid w:val="00F74B29"/>
    <w:rsid w:val="00F800ED"/>
    <w:rsid w:val="00F80F5D"/>
    <w:rsid w:val="00F8243A"/>
    <w:rsid w:val="00F82578"/>
    <w:rsid w:val="00F82E1E"/>
    <w:rsid w:val="00F92A01"/>
    <w:rsid w:val="00F96716"/>
    <w:rsid w:val="00FA337E"/>
    <w:rsid w:val="00FA3C4B"/>
    <w:rsid w:val="00FA59DC"/>
    <w:rsid w:val="00FA6030"/>
    <w:rsid w:val="00FB054C"/>
    <w:rsid w:val="00FB08C2"/>
    <w:rsid w:val="00FB1DCF"/>
    <w:rsid w:val="00FB2179"/>
    <w:rsid w:val="00FB4D6E"/>
    <w:rsid w:val="00FB5522"/>
    <w:rsid w:val="00FC4AD9"/>
    <w:rsid w:val="00FC79D6"/>
    <w:rsid w:val="00FD2A75"/>
    <w:rsid w:val="00FD3DF1"/>
    <w:rsid w:val="00FD51F3"/>
    <w:rsid w:val="00FE388E"/>
    <w:rsid w:val="00FE4EFA"/>
    <w:rsid w:val="00FE520C"/>
    <w:rsid w:val="00FE7B89"/>
    <w:rsid w:val="00FF0C46"/>
    <w:rsid w:val="00FF12B3"/>
    <w:rsid w:val="00FF28EC"/>
    <w:rsid w:val="00FF6120"/>
    <w:rsid w:val="00FF683E"/>
    <w:rsid w:val="00FF6C60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5E00"/>
  <w15:chartTrackingRefBased/>
  <w15:docId w15:val="{38A7AFE4-8F07-614E-8114-0DD6622B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B8"/>
    <w:rPr>
      <w:rFonts w:ascii="Helvetica Neue Light" w:hAnsi="Helvetica Neue Light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DB8"/>
    <w:pPr>
      <w:spacing w:before="240" w:after="240" w:line="240" w:lineRule="auto"/>
      <w:contextualSpacing/>
      <w:outlineLvl w:val="0"/>
    </w:pPr>
    <w:rPr>
      <w:rFonts w:ascii="Helvetica" w:hAnsi="Helvetica"/>
      <w:b/>
      <w:bCs/>
      <w:color w:val="0F357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DB8"/>
    <w:pPr>
      <w:spacing w:before="240" w:after="240" w:line="240" w:lineRule="auto"/>
      <w:outlineLvl w:val="1"/>
    </w:pPr>
    <w:rPr>
      <w:rFonts w:ascii="Helvetica" w:hAnsi="Helvetica"/>
      <w:b/>
      <w:bCs/>
      <w:color w:val="297FD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E2E"/>
    <w:pPr>
      <w:keepNext/>
      <w:keepLines/>
      <w:spacing w:before="160" w:after="80"/>
      <w:outlineLvl w:val="2"/>
    </w:pPr>
    <w:rPr>
      <w:rFonts w:eastAsiaTheme="majorEastAsia" w:cstheme="majorBidi"/>
      <w:color w:val="156082" w:themeColor="accent1"/>
      <w:sz w:val="28"/>
      <w:szCs w:val="28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6082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E2E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E2E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E2E"/>
    <w:pPr>
      <w:keepNext/>
      <w:keepLines/>
      <w:spacing w:after="0"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E2E"/>
    <w:pPr>
      <w:keepNext/>
      <w:keepLines/>
      <w:spacing w:after="0"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DB8"/>
    <w:rPr>
      <w:rFonts w:ascii="Helvetica" w:hAnsi="Helvetica"/>
      <w:b/>
      <w:bCs/>
      <w:color w:val="0F357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97DB8"/>
    <w:rPr>
      <w:rFonts w:ascii="Helvetica" w:hAnsi="Helvetica"/>
      <w:b/>
      <w:bCs/>
      <w:color w:val="297FD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5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DB8"/>
    <w:pPr>
      <w:jc w:val="center"/>
    </w:pPr>
    <w:rPr>
      <w:rFonts w:ascii="Baskerville Old Face" w:hAnsi="Baskerville Old Face" w:cs="Times New Roman (Body CS)"/>
      <w:b/>
      <w:smallCaps/>
      <w:color w:val="0F357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7DB8"/>
    <w:rPr>
      <w:rFonts w:ascii="Baskerville Old Face" w:hAnsi="Baskerville Old Face" w:cs="Times New Roman (Body CS)"/>
      <w:b/>
      <w:smallCaps/>
      <w:color w:val="0F357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E2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C7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E2E"/>
    <w:pPr>
      <w:spacing w:before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C75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E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E2E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C75E2E"/>
    <w:rPr>
      <w:rFonts w:ascii="Helvetica Neue" w:hAnsi="Helvetica Neue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E2E"/>
  </w:style>
  <w:style w:type="character" w:styleId="PageNumber">
    <w:name w:val="page number"/>
    <w:basedOn w:val="DefaultParagraphFont"/>
    <w:uiPriority w:val="99"/>
    <w:semiHidden/>
    <w:unhideWhenUsed/>
    <w:rsid w:val="00C75E2E"/>
  </w:style>
  <w:style w:type="character" w:styleId="Hyperlink">
    <w:name w:val="Hyperlink"/>
    <w:basedOn w:val="DefaultParagraphFont"/>
    <w:uiPriority w:val="99"/>
    <w:unhideWhenUsed/>
    <w:rsid w:val="00A328B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856"/>
    <w:rPr>
      <w:rFonts w:ascii="Helvetica Neue Light" w:hAnsi="Helvetica Neue Light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856"/>
    <w:rPr>
      <w:rFonts w:ascii="Helvetica Neue Light" w:hAnsi="Helvetica Neue Light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641F7A"/>
    <w:pPr>
      <w:spacing w:after="0" w:line="240" w:lineRule="auto"/>
    </w:pPr>
    <w:rPr>
      <w:kern w:val="0"/>
      <w:sz w:val="22"/>
      <w:szCs w:val="22"/>
      <w:lang w:eastAsia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41F7A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E5DF3"/>
    <w:pPr>
      <w:keepNext/>
      <w:keepLines/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0702C"/>
    <w:pPr>
      <w:spacing w:before="60" w:after="0" w:line="240" w:lineRule="auto"/>
      <w:contextualSpacing/>
    </w:pPr>
    <w:rPr>
      <w:rFonts w:ascii="Helvetica" w:hAnsi="Helvetica"/>
      <w:b/>
      <w:bCs/>
      <w:i/>
      <w:iCs/>
      <w:color w:val="0F9ED5" w:themeColor="accent4"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0702C"/>
    <w:pPr>
      <w:spacing w:after="0" w:line="240" w:lineRule="auto"/>
      <w:ind w:left="216"/>
      <w:contextualSpacing/>
    </w:pPr>
    <w:rPr>
      <w:rFonts w:ascii="Helvetica" w:hAnsi="Helvetica"/>
      <w:bC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CE5DF3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E5DF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E5DF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E5DF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5DF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E5DF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E5DF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Heading1Non-TOC">
    <w:name w:val="Heading 1 (Non-TOC)"/>
    <w:basedOn w:val="Heading1"/>
    <w:qFormat/>
    <w:rsid w:val="00E10AB5"/>
  </w:style>
  <w:style w:type="character" w:styleId="FollowedHyperlink">
    <w:name w:val="FollowedHyperlink"/>
    <w:basedOn w:val="DefaultParagraphFont"/>
    <w:uiPriority w:val="99"/>
    <w:semiHidden/>
    <w:unhideWhenUsed/>
    <w:rsid w:val="007F2AA9"/>
    <w:rPr>
      <w:color w:val="96607D" w:themeColor="followedHyperlink"/>
      <w:u w:val="single"/>
    </w:rPr>
  </w:style>
  <w:style w:type="paragraph" w:customStyle="1" w:styleId="p1">
    <w:name w:val="p1"/>
    <w:basedOn w:val="Normal"/>
    <w:rsid w:val="00027059"/>
    <w:pPr>
      <w:spacing w:after="0" w:line="240" w:lineRule="auto"/>
    </w:pPr>
    <w:rPr>
      <w:rFonts w:ascii="Helvetica" w:eastAsia="Times New Roman" w:hAnsi="Helvetica" w:cs="Times New Roman"/>
      <w:color w:val="2268CC"/>
      <w:kern w:val="0"/>
      <w:sz w:val="21"/>
      <w:szCs w:val="21"/>
      <w:lang w:eastAsia="en-US"/>
      <w14:ligatures w14:val="none"/>
    </w:rPr>
  </w:style>
  <w:style w:type="paragraph" w:customStyle="1" w:styleId="p2">
    <w:name w:val="p2"/>
    <w:basedOn w:val="Normal"/>
    <w:rsid w:val="00027059"/>
    <w:pPr>
      <w:spacing w:after="0" w:line="240" w:lineRule="auto"/>
    </w:pPr>
    <w:rPr>
      <w:rFonts w:eastAsia="Times New Roman" w:cs="Times New Roman"/>
      <w:color w:val="313131"/>
      <w:kern w:val="0"/>
      <w:sz w:val="17"/>
      <w:szCs w:val="17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2C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styleId="Revision">
    <w:name w:val="Revision"/>
    <w:hidden/>
    <w:uiPriority w:val="99"/>
    <w:semiHidden/>
    <w:rsid w:val="000337D7"/>
    <w:pPr>
      <w:spacing w:after="0" w:line="240" w:lineRule="auto"/>
    </w:pPr>
    <w:rPr>
      <w:rFonts w:ascii="Helvetica Neue Light" w:hAnsi="Helvetica Neue Light"/>
      <w:color w:val="404040" w:themeColor="text1" w:themeTint="BF"/>
      <w:sz w:val="22"/>
      <w:szCs w:val="22"/>
    </w:rPr>
  </w:style>
  <w:style w:type="character" w:customStyle="1" w:styleId="apple-converted-space">
    <w:name w:val="apple-converted-space"/>
    <w:basedOn w:val="DefaultParagraphFont"/>
    <w:rsid w:val="00D455D0"/>
  </w:style>
  <w:style w:type="character" w:styleId="Strong">
    <w:name w:val="Strong"/>
    <w:basedOn w:val="DefaultParagraphFont"/>
    <w:uiPriority w:val="22"/>
    <w:qFormat/>
    <w:rsid w:val="00000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sachspolicy.us7.list-manage.com%2Ftrack%2Fclick%3Fu%3D506b89891b53886a264851c97%26id%3Ddc56a7b07e%26e%3De3cd813f9e&amp;data=05%7C02%7CJPierce%40sachspolicy.com%7C12febfc675c34610120408de917b9271%7Cf56b6b683bf9468b81ae9a435c7c362e%7C0%7C0%7C639108157097578459%7CUnknown%7CTWFpbGZsb3d8eyJFbXB0eU1hcGkiOnRydWUsIlYiOiIwLjAuMDAwMCIsIlAiOiJXaW4zMiIsIkFOIjoiTWFpbCIsIldUIjoyfQ%3D%3D%7C0%7C%7C%7C&amp;sdata=TerLA9TDFe57XSVdPkOTEn9agZe2fF3%2BEkGOdpWr6FU%3D&amp;reserved=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065967-5AF3-C94C-9928-1AAEAD9B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Pierce</dc:creator>
  <cp:keywords/>
  <dc:description/>
  <cp:lastModifiedBy>Adam Boghosian</cp:lastModifiedBy>
  <cp:revision>2</cp:revision>
  <dcterms:created xsi:type="dcterms:W3CDTF">2026-05-28T16:09:00Z</dcterms:created>
  <dcterms:modified xsi:type="dcterms:W3CDTF">2026-05-28T16:09:00Z</dcterms:modified>
</cp:coreProperties>
</file>