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CD039" w14:textId="178724EC" w:rsidR="00DD7E88" w:rsidRDefault="00DD7E88"/>
    <w:sdt>
      <w:sdtPr>
        <w:id w:val="272291930"/>
        <w:docPartObj>
          <w:docPartGallery w:val="Cover Pages"/>
          <w:docPartUnique/>
        </w:docPartObj>
      </w:sdtPr>
      <w:sdtEndPr/>
      <w:sdtContent>
        <w:p w14:paraId="0AF861AE" w14:textId="00C0598D" w:rsidR="00405DEF" w:rsidRDefault="00405DEF">
          <w:r>
            <w:rPr>
              <w:noProof/>
            </w:rPr>
            <mc:AlternateContent>
              <mc:Choice Requires="wpg">
                <w:drawing>
                  <wp:anchor distT="0" distB="0" distL="114300" distR="114300" simplePos="0" relativeHeight="251660288" behindDoc="0" locked="0" layoutInCell="1" allowOverlap="1" wp14:anchorId="7D764D18" wp14:editId="3AC5C303">
                    <wp:simplePos x="0" y="0"/>
                    <wp:positionH relativeFrom="page">
                      <wp:posOffset>0</wp:posOffset>
                    </wp:positionH>
                    <wp:positionV relativeFrom="page">
                      <wp:posOffset>-419553</wp:posOffset>
                    </wp:positionV>
                    <wp:extent cx="6935271" cy="3821121"/>
                    <wp:effectExtent l="0" t="0" r="0" b="1905"/>
                    <wp:wrapNone/>
                    <wp:docPr id="459" name="Group 125" title="Title and subtitle with crop mark graphic"/>
                    <wp:cNvGraphicFramePr/>
                    <a:graphic xmlns:a="http://schemas.openxmlformats.org/drawingml/2006/main">
                      <a:graphicData uri="http://schemas.microsoft.com/office/word/2010/wordprocessingGroup">
                        <wpg:wgp>
                          <wpg:cNvGrpSpPr/>
                          <wpg:grpSpPr>
                            <a:xfrm>
                              <a:off x="0" y="0"/>
                              <a:ext cx="6935271" cy="3821121"/>
                              <a:chOff x="0" y="-419553"/>
                              <a:chExt cx="6789117" cy="3821121"/>
                            </a:xfrm>
                          </wpg:grpSpPr>
                          <wpg:grpSp>
                            <wpg:cNvPr id="460" name="Group 460" title="Crop mark graphic"/>
                            <wpg:cNvGrpSpPr/>
                            <wpg:grpSpPr>
                              <a:xfrm>
                                <a:off x="0" y="0"/>
                                <a:ext cx="2642616" cy="3401568"/>
                                <a:chOff x="0" y="0"/>
                                <a:chExt cx="2642616" cy="3401568"/>
                              </a:xfrm>
                            </wpg:grpSpPr>
                            <wps:wsp>
                              <wps:cNvPr id="461" name="Freeform 461"/>
                              <wps:cNvSpPr>
                                <a:spLocks/>
                              </wps:cNvSpPr>
                              <wps:spPr bwMode="auto">
                                <a:xfrm>
                                  <a:off x="504825" y="504825"/>
                                  <a:ext cx="2133600" cy="2867025"/>
                                </a:xfrm>
                                <a:custGeom>
                                  <a:avLst/>
                                  <a:gdLst>
                                    <a:gd name="T0" fmla="*/ 168 w 1344"/>
                                    <a:gd name="T1" fmla="*/ 1806 h 1806"/>
                                    <a:gd name="T2" fmla="*/ 0 w 1344"/>
                                    <a:gd name="T3" fmla="*/ 1806 h 1806"/>
                                    <a:gd name="T4" fmla="*/ 0 w 1344"/>
                                    <a:gd name="T5" fmla="*/ 0 h 1806"/>
                                    <a:gd name="T6" fmla="*/ 1344 w 1344"/>
                                    <a:gd name="T7" fmla="*/ 0 h 1806"/>
                                    <a:gd name="T8" fmla="*/ 1344 w 1344"/>
                                    <a:gd name="T9" fmla="*/ 165 h 1806"/>
                                    <a:gd name="T10" fmla="*/ 168 w 1344"/>
                                    <a:gd name="T11" fmla="*/ 165 h 1806"/>
                                    <a:gd name="T12" fmla="*/ 168 w 1344"/>
                                    <a:gd name="T13" fmla="*/ 1806 h 1806"/>
                                  </a:gdLst>
                                  <a:ahLst/>
                                  <a:cxnLst>
                                    <a:cxn ang="0">
                                      <a:pos x="T0" y="T1"/>
                                    </a:cxn>
                                    <a:cxn ang="0">
                                      <a:pos x="T2" y="T3"/>
                                    </a:cxn>
                                    <a:cxn ang="0">
                                      <a:pos x="T4" y="T5"/>
                                    </a:cxn>
                                    <a:cxn ang="0">
                                      <a:pos x="T6" y="T7"/>
                                    </a:cxn>
                                    <a:cxn ang="0">
                                      <a:pos x="T8" y="T9"/>
                                    </a:cxn>
                                    <a:cxn ang="0">
                                      <a:pos x="T10" y="T11"/>
                                    </a:cxn>
                                    <a:cxn ang="0">
                                      <a:pos x="T12" y="T13"/>
                                    </a:cxn>
                                  </a:cxnLst>
                                  <a:rect l="0" t="0" r="r" b="b"/>
                                  <a:pathLst>
                                    <a:path w="1344" h="1806">
                                      <a:moveTo>
                                        <a:pt x="168" y="1806"/>
                                      </a:moveTo>
                                      <a:lnTo>
                                        <a:pt x="0" y="1806"/>
                                      </a:lnTo>
                                      <a:lnTo>
                                        <a:pt x="0" y="0"/>
                                      </a:lnTo>
                                      <a:lnTo>
                                        <a:pt x="1344" y="0"/>
                                      </a:lnTo>
                                      <a:lnTo>
                                        <a:pt x="1344" y="165"/>
                                      </a:lnTo>
                                      <a:lnTo>
                                        <a:pt x="168" y="165"/>
                                      </a:lnTo>
                                      <a:lnTo>
                                        <a:pt x="168" y="1806"/>
                                      </a:lnTo>
                                      <a:close/>
                                    </a:path>
                                  </a:pathLst>
                                </a:custGeom>
                                <a:solidFill>
                                  <a:schemeClr val="tx2"/>
                                </a:solidFill>
                                <a:ln>
                                  <a:noFill/>
                                </a:ln>
                              </wps:spPr>
                              <wps:bodyPr vert="horz" wrap="square" lIns="91440" tIns="45720" rIns="91440" bIns="45720" numCol="1" anchor="t" anchorCtr="0" compatLnSpc="1">
                                <a:prstTxWarp prst="textNoShape">
                                  <a:avLst/>
                                </a:prstTxWarp>
                              </wps:bodyPr>
                            </wps:wsp>
                            <wps:wsp>
                              <wps:cNvPr id="462" name="Rectangle 462"/>
                              <wps:cNvSpPr/>
                              <wps:spPr>
                                <a:xfrm>
                                  <a:off x="0" y="0"/>
                                  <a:ext cx="2642616" cy="340156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63" name="Text Box 463" title="Title and subtitle"/>
                            <wps:cNvSpPr txBox="1"/>
                            <wps:spPr>
                              <a:xfrm>
                                <a:off x="504839" y="-419553"/>
                                <a:ext cx="6284278" cy="2591435"/>
                              </a:xfrm>
                              <a:prstGeom prst="rect">
                                <a:avLst/>
                              </a:prstGeom>
                              <a:noFill/>
                              <a:ln w="6350">
                                <a:noFill/>
                              </a:ln>
                            </wps:spPr>
                            <wps:txbx>
                              <w:txbxContent>
                                <w:sdt>
                                  <w:sdtPr>
                                    <w:rPr>
                                      <w:rFonts w:asciiTheme="majorHAnsi" w:hAnsiTheme="majorHAnsi"/>
                                      <w:color w:val="0E2841" w:themeColor="text2"/>
                                      <w:spacing w:val="10"/>
                                      <w:sz w:val="36"/>
                                      <w:szCs w:val="36"/>
                                    </w:rPr>
                                    <w:alias w:val="Subtitle"/>
                                    <w:tag w:val=""/>
                                    <w:id w:val="-925647391"/>
                                    <w:showingPlcHdr/>
                                    <w:dataBinding w:prefixMappings="xmlns:ns0='http://purl.org/dc/elements/1.1/' xmlns:ns1='http://schemas.openxmlformats.org/package/2006/metadata/core-properties' " w:xpath="/ns1:coreProperties[1]/ns0:subject[1]" w:storeItemID="{6C3C8BC8-F283-45AE-878A-BAB7291924A1}"/>
                                    <w15:appearance w15:val="hidden"/>
                                    <w:text/>
                                  </w:sdtPr>
                                  <w:sdtEndPr/>
                                  <w:sdtContent>
                                    <w:p w14:paraId="1FCDB7FF" w14:textId="1FF076E0" w:rsidR="00405DEF" w:rsidRDefault="00405DEF">
                                      <w:pPr>
                                        <w:pStyle w:val="NoSpacing"/>
                                        <w:spacing w:after="240" w:line="216" w:lineRule="auto"/>
                                        <w:rPr>
                                          <w:rFonts w:asciiTheme="majorHAnsi" w:hAnsiTheme="majorHAnsi"/>
                                          <w:color w:val="0E2841" w:themeColor="text2"/>
                                          <w:spacing w:val="10"/>
                                          <w:sz w:val="36"/>
                                          <w:szCs w:val="36"/>
                                        </w:rPr>
                                      </w:pPr>
                                      <w:r>
                                        <w:rPr>
                                          <w:rFonts w:asciiTheme="majorHAnsi" w:hAnsiTheme="majorHAnsi"/>
                                          <w:color w:val="0E2841" w:themeColor="text2"/>
                                          <w:spacing w:val="10"/>
                                          <w:sz w:val="36"/>
                                          <w:szCs w:val="36"/>
                                        </w:rPr>
                                        <w:t xml:space="preserve">     </w:t>
                                      </w:r>
                                    </w:p>
                                  </w:sdtContent>
                                </w:sdt>
                                <w:sdt>
                                  <w:sdtPr>
                                    <w:rPr>
                                      <w:rFonts w:asciiTheme="majorHAnsi" w:hAnsiTheme="majorHAnsi"/>
                                      <w:caps/>
                                      <w:color w:val="0E2841" w:themeColor="text2"/>
                                      <w:sz w:val="84"/>
                                      <w:szCs w:val="84"/>
                                    </w:rPr>
                                    <w:alias w:val="Title"/>
                                    <w:tag w:val=""/>
                                    <w:id w:val="-917322602"/>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3218875B" w14:textId="70520133" w:rsidR="00405DEF" w:rsidRPr="00405DEF" w:rsidRDefault="00295622">
                                      <w:pPr>
                                        <w:pStyle w:val="NoSpacing"/>
                                        <w:spacing w:line="216" w:lineRule="auto"/>
                                        <w:rPr>
                                          <w:rFonts w:asciiTheme="majorHAnsi" w:hAnsiTheme="majorHAnsi"/>
                                          <w:caps/>
                                          <w:color w:val="0E2841" w:themeColor="text2"/>
                                          <w:sz w:val="84"/>
                                          <w:szCs w:val="84"/>
                                        </w:rPr>
                                      </w:pPr>
                                      <w:r>
                                        <w:rPr>
                                          <w:rFonts w:asciiTheme="majorHAnsi" w:hAnsiTheme="majorHAnsi"/>
                                          <w:caps/>
                                          <w:color w:val="0E2841" w:themeColor="text2"/>
                                          <w:sz w:val="84"/>
                                          <w:szCs w:val="84"/>
                                        </w:rPr>
                                        <w:t xml:space="preserve">New York </w:t>
                                      </w:r>
                                      <w:r w:rsidR="00014C23">
                                        <w:rPr>
                                          <w:rFonts w:asciiTheme="majorHAnsi" w:hAnsiTheme="majorHAnsi"/>
                                          <w:caps/>
                                          <w:color w:val="0E2841" w:themeColor="text2"/>
                                          <w:sz w:val="84"/>
                                          <w:szCs w:val="84"/>
                                        </w:rPr>
                                        <w:t xml:space="preserve">State </w:t>
                                      </w:r>
                                      <w:r>
                                        <w:rPr>
                                          <w:rFonts w:asciiTheme="majorHAnsi" w:hAnsiTheme="majorHAnsi"/>
                                          <w:caps/>
                                          <w:color w:val="0E2841" w:themeColor="text2"/>
                                          <w:sz w:val="84"/>
                                          <w:szCs w:val="84"/>
                                        </w:rPr>
                                        <w:t>Medicaid Policy</w:t>
                                      </w:r>
                                      <w:r w:rsidR="00014C23">
                                        <w:rPr>
                                          <w:rFonts w:asciiTheme="majorHAnsi" w:hAnsiTheme="majorHAnsi"/>
                                          <w:caps/>
                                          <w:color w:val="0E2841" w:themeColor="text2"/>
                                          <w:sz w:val="84"/>
                                          <w:szCs w:val="84"/>
                                        </w:rPr>
                                        <w:t xml:space="preserve"> Primer</w:t>
                                      </w:r>
                                    </w:p>
                                  </w:sdtContent>
                                </w:sdt>
                              </w:txbxContent>
                            </wps:txbx>
                            <wps:bodyPr rot="0" spcFirstLastPara="0" vertOverflow="overflow" horzOverflow="overflow" vert="horz" wrap="square" lIns="457200" tIns="457200" rIns="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D764D18" id="Group 125" o:spid="_x0000_s1026" alt="Title: Title and subtitle with crop mark graphic" style="position:absolute;margin-left:0;margin-top:-33.05pt;width:546.1pt;height:300.9pt;z-index:251660288;mso-position-horizontal-relative:page;mso-position-vertical-relative:page;mso-width-relative:margin;mso-height-relative:margin" coordorigin=",-4195" coordsize="67891,3821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">
                    <v:group id="Group 460" o:spid="_x0000_s1027" style="position:absolute;width:26426;height:34015" coordsize="26426,340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">
                      <v:shape id="Freeform 461" o:spid="_x0000_s1028" style="position:absolute;left:5048;top:5048;width:21336;height:28670;visibility:visible;mso-wrap-style:square;v-text-anchor:top" coordsize="1344,180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" path="m168,1806l,1806,,,1344,r,165l168,165r,1641xe" fillcolor="#0e2841 [3215]" stroked="f">
                        <v:path arrowok="t" o:connecttype="custom" o:connectlocs="266700,2867025;0,2867025;0,0;2133600,0;2133600,261938;266700,261938;266700,2867025" o:connectangles="0,0,0,0,0,0,0"/>
                      </v:shape>
                      <v:rect id="Rectangle 462" o:spid="_x0000_s1029" style="position:absolute;width:26426;height:340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" filled="f" stroked="f" strokeweight="1pt"/>
                    </v:group>
                    <v:shapetype id="_x0000_t202" coordsize="21600,21600" o:spt="202" path="m,l,21600r21600,l21600,xe">
                      <v:stroke joinstyle="miter"/>
                      <v:path gradientshapeok="t" o:connecttype="rect"/>
                    </v:shapetype>
                    <v:shape id="Text Box 463" o:spid="_x0000_s1030" type="#_x0000_t202" style="position:absolute;left:5048;top:-4195;width:62843;height:25913;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" filled="f" stroked="f" strokeweight=".5pt">
                      <v:textbox inset="36pt,36pt,0,0">
                        <w:txbxContent>
                          <w:sdt>
                            <w:sdtPr>
                              <w:rPr>
                                <w:rFonts w:asciiTheme="majorHAnsi" w:hAnsiTheme="majorHAnsi"/>
                                <w:color w:val="0E2841" w:themeColor="text2"/>
                                <w:spacing w:val="10"/>
                                <w:sz w:val="36"/>
                                <w:szCs w:val="36"/>
                              </w:rPr>
                              <w:alias w:val="Subtitle"/>
                              <w:tag w:val=""/>
                              <w:id w:val="-925647391"/>
                              <w:showingPlcHdr/>
                              <w:dataBinding w:prefixMappings="xmlns:ns0='http://purl.org/dc/elements/1.1/' xmlns:ns1='http://schemas.openxmlformats.org/package/2006/metadata/core-properties' " w:xpath="/ns1:coreProperties[1]/ns0:subject[1]" w:storeItemID="{6C3C8BC8-F283-45AE-878A-BAB7291924A1}"/>
                              <w15:appearance w15:val="hidden"/>
                              <w:text/>
                            </w:sdtPr>
                            <w:sdtEndPr/>
                            <w:sdtContent>
                              <w:p w14:paraId="1FCDB7FF" w14:textId="1FF076E0" w:rsidR="00405DEF" w:rsidRDefault="00405DEF">
                                <w:pPr>
                                  <w:pStyle w:val="NoSpacing"/>
                                  <w:spacing w:after="240" w:line="216" w:lineRule="auto"/>
                                  <w:rPr>
                                    <w:rFonts w:asciiTheme="majorHAnsi" w:hAnsiTheme="majorHAnsi"/>
                                    <w:color w:val="0E2841" w:themeColor="text2"/>
                                    <w:spacing w:val="10"/>
                                    <w:sz w:val="36"/>
                                    <w:szCs w:val="36"/>
                                  </w:rPr>
                                </w:pPr>
                                <w:r>
                                  <w:rPr>
                                    <w:rFonts w:asciiTheme="majorHAnsi" w:hAnsiTheme="majorHAnsi"/>
                                    <w:color w:val="0E2841" w:themeColor="text2"/>
                                    <w:spacing w:val="10"/>
                                    <w:sz w:val="36"/>
                                    <w:szCs w:val="36"/>
                                  </w:rPr>
                                  <w:t xml:space="preserve">     </w:t>
                                </w:r>
                              </w:p>
                            </w:sdtContent>
                          </w:sdt>
                          <w:sdt>
                            <w:sdtPr>
                              <w:rPr>
                                <w:rFonts w:asciiTheme="majorHAnsi" w:hAnsiTheme="majorHAnsi"/>
                                <w:caps/>
                                <w:color w:val="0E2841" w:themeColor="text2"/>
                                <w:sz w:val="84"/>
                                <w:szCs w:val="84"/>
                              </w:rPr>
                              <w:alias w:val="Title"/>
                              <w:tag w:val=""/>
                              <w:id w:val="-917322602"/>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3218875B" w14:textId="70520133" w:rsidR="00405DEF" w:rsidRPr="00405DEF" w:rsidRDefault="00295622">
                                <w:pPr>
                                  <w:pStyle w:val="NoSpacing"/>
                                  <w:spacing w:line="216" w:lineRule="auto"/>
                                  <w:rPr>
                                    <w:rFonts w:asciiTheme="majorHAnsi" w:hAnsiTheme="majorHAnsi"/>
                                    <w:caps/>
                                    <w:color w:val="0E2841" w:themeColor="text2"/>
                                    <w:sz w:val="84"/>
                                    <w:szCs w:val="84"/>
                                  </w:rPr>
                                </w:pPr>
                                <w:r>
                                  <w:rPr>
                                    <w:rFonts w:asciiTheme="majorHAnsi" w:hAnsiTheme="majorHAnsi"/>
                                    <w:caps/>
                                    <w:color w:val="0E2841" w:themeColor="text2"/>
                                    <w:sz w:val="84"/>
                                    <w:szCs w:val="84"/>
                                  </w:rPr>
                                  <w:t xml:space="preserve">New York </w:t>
                                </w:r>
                                <w:r w:rsidR="00014C23">
                                  <w:rPr>
                                    <w:rFonts w:asciiTheme="majorHAnsi" w:hAnsiTheme="majorHAnsi"/>
                                    <w:caps/>
                                    <w:color w:val="0E2841" w:themeColor="text2"/>
                                    <w:sz w:val="84"/>
                                    <w:szCs w:val="84"/>
                                  </w:rPr>
                                  <w:t xml:space="preserve">State </w:t>
                                </w:r>
                                <w:r>
                                  <w:rPr>
                                    <w:rFonts w:asciiTheme="majorHAnsi" w:hAnsiTheme="majorHAnsi"/>
                                    <w:caps/>
                                    <w:color w:val="0E2841" w:themeColor="text2"/>
                                    <w:sz w:val="84"/>
                                    <w:szCs w:val="84"/>
                                  </w:rPr>
                                  <w:t>Medicaid Policy</w:t>
                                </w:r>
                                <w:r w:rsidR="00014C23">
                                  <w:rPr>
                                    <w:rFonts w:asciiTheme="majorHAnsi" w:hAnsiTheme="majorHAnsi"/>
                                    <w:caps/>
                                    <w:color w:val="0E2841" w:themeColor="text2"/>
                                    <w:sz w:val="84"/>
                                    <w:szCs w:val="84"/>
                                  </w:rPr>
                                  <w:t xml:space="preserve"> Primer</w:t>
                                </w:r>
                              </w:p>
                            </w:sdtContent>
                          </w:sdt>
                        </w:txbxContent>
                      </v:textbox>
                    </v:shape>
                    <w10:wrap anchorx="page" anchory="page"/>
                  </v:group>
                </w:pict>
              </mc:Fallback>
            </mc:AlternateContent>
          </w:r>
          <w:r>
            <w:rPr>
              <w:noProof/>
            </w:rPr>
            <mc:AlternateContent>
              <mc:Choice Requires="wpg">
                <w:drawing>
                  <wp:anchor distT="0" distB="0" distL="114300" distR="114300" simplePos="0" relativeHeight="251661312" behindDoc="0" locked="0" layoutInCell="1" allowOverlap="1" wp14:anchorId="75C809D4" wp14:editId="6C32CC40">
                    <wp:simplePos x="0" y="0"/>
                    <wp:positionH relativeFrom="page">
                      <wp:align>right</wp:align>
                    </wp:positionH>
                    <wp:positionV relativeFrom="page">
                      <wp:align>bottom</wp:align>
                    </wp:positionV>
                    <wp:extent cx="4672584" cy="3374136"/>
                    <wp:effectExtent l="0" t="0" r="0" b="0"/>
                    <wp:wrapNone/>
                    <wp:docPr id="454" name="Group 121" title="Author and company name with crop mark graphic"/>
                    <wp:cNvGraphicFramePr/>
                    <a:graphic xmlns:a="http://schemas.openxmlformats.org/drawingml/2006/main">
                      <a:graphicData uri="http://schemas.microsoft.com/office/word/2010/wordprocessingGroup">
                        <wpg:wgp>
                          <wpg:cNvGrpSpPr/>
                          <wpg:grpSpPr>
                            <a:xfrm>
                              <a:off x="0" y="0"/>
                              <a:ext cx="4672584" cy="3374136"/>
                              <a:chOff x="0" y="0"/>
                              <a:chExt cx="4671822" cy="3374136"/>
                            </a:xfrm>
                          </wpg:grpSpPr>
                          <wpg:grpSp>
                            <wpg:cNvPr id="455" name="Group 455" title="Crop mark graphic"/>
                            <wpg:cNvGrpSpPr/>
                            <wpg:grpSpPr>
                              <a:xfrm>
                                <a:off x="2038350" y="0"/>
                                <a:ext cx="2633472" cy="3374136"/>
                                <a:chOff x="0" y="0"/>
                                <a:chExt cx="2628900" cy="3371850"/>
                              </a:xfrm>
                            </wpg:grpSpPr>
                            <wps:wsp>
                              <wps:cNvPr id="456" name="Freeform 456"/>
                              <wps:cNvSpPr>
                                <a:spLocks/>
                              </wps:cNvSpPr>
                              <wps:spPr bwMode="auto">
                                <a:xfrm>
                                  <a:off x="0" y="0"/>
                                  <a:ext cx="2133600" cy="2867025"/>
                                </a:xfrm>
                                <a:custGeom>
                                  <a:avLst/>
                                  <a:gdLst>
                                    <a:gd name="T0" fmla="*/ 1344 w 1344"/>
                                    <a:gd name="T1" fmla="*/ 1806 h 1806"/>
                                    <a:gd name="T2" fmla="*/ 0 w 1344"/>
                                    <a:gd name="T3" fmla="*/ 1806 h 1806"/>
                                    <a:gd name="T4" fmla="*/ 0 w 1344"/>
                                    <a:gd name="T5" fmla="*/ 1641 h 1806"/>
                                    <a:gd name="T6" fmla="*/ 1176 w 1344"/>
                                    <a:gd name="T7" fmla="*/ 1641 h 1806"/>
                                    <a:gd name="T8" fmla="*/ 1176 w 1344"/>
                                    <a:gd name="T9" fmla="*/ 0 h 1806"/>
                                    <a:gd name="T10" fmla="*/ 1344 w 1344"/>
                                    <a:gd name="T11" fmla="*/ 0 h 1806"/>
                                    <a:gd name="T12" fmla="*/ 1344 w 1344"/>
                                    <a:gd name="T13" fmla="*/ 1806 h 1806"/>
                                  </a:gdLst>
                                  <a:ahLst/>
                                  <a:cxnLst>
                                    <a:cxn ang="0">
                                      <a:pos x="T0" y="T1"/>
                                    </a:cxn>
                                    <a:cxn ang="0">
                                      <a:pos x="T2" y="T3"/>
                                    </a:cxn>
                                    <a:cxn ang="0">
                                      <a:pos x="T4" y="T5"/>
                                    </a:cxn>
                                    <a:cxn ang="0">
                                      <a:pos x="T6" y="T7"/>
                                    </a:cxn>
                                    <a:cxn ang="0">
                                      <a:pos x="T8" y="T9"/>
                                    </a:cxn>
                                    <a:cxn ang="0">
                                      <a:pos x="T10" y="T11"/>
                                    </a:cxn>
                                    <a:cxn ang="0">
                                      <a:pos x="T12" y="T13"/>
                                    </a:cxn>
                                  </a:cxnLst>
                                  <a:rect l="0" t="0" r="r" b="b"/>
                                  <a:pathLst>
                                    <a:path w="1344" h="1806">
                                      <a:moveTo>
                                        <a:pt x="1344" y="1806"/>
                                      </a:moveTo>
                                      <a:lnTo>
                                        <a:pt x="0" y="1806"/>
                                      </a:lnTo>
                                      <a:lnTo>
                                        <a:pt x="0" y="1641"/>
                                      </a:lnTo>
                                      <a:lnTo>
                                        <a:pt x="1176" y="1641"/>
                                      </a:lnTo>
                                      <a:lnTo>
                                        <a:pt x="1176" y="0"/>
                                      </a:lnTo>
                                      <a:lnTo>
                                        <a:pt x="1344" y="0"/>
                                      </a:lnTo>
                                      <a:lnTo>
                                        <a:pt x="1344" y="1806"/>
                                      </a:lnTo>
                                      <a:close/>
                                    </a:path>
                                  </a:pathLst>
                                </a:custGeom>
                                <a:solidFill>
                                  <a:schemeClr val="tx2"/>
                                </a:solidFill>
                                <a:ln>
                                  <a:noFill/>
                                </a:ln>
                              </wps:spPr>
                              <wps:bodyPr vert="horz" wrap="square" lIns="91440" tIns="45720" rIns="91440" bIns="45720" numCol="1" anchor="t" anchorCtr="0" compatLnSpc="1">
                                <a:prstTxWarp prst="textNoShape">
                                  <a:avLst/>
                                </a:prstTxWarp>
                              </wps:bodyPr>
                            </wps:wsp>
                            <wps:wsp>
                              <wps:cNvPr id="457" name="Rectangle 457"/>
                              <wps:cNvSpPr/>
                              <wps:spPr>
                                <a:xfrm>
                                  <a:off x="9525" y="0"/>
                                  <a:ext cx="2619375" cy="3371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58" name="Text Box 458" title="Title and subtitle"/>
                            <wps:cNvSpPr txBox="1"/>
                            <wps:spPr>
                              <a:xfrm>
                                <a:off x="0" y="1104900"/>
                                <a:ext cx="3904218" cy="1504950"/>
                              </a:xfrm>
                              <a:prstGeom prst="rect">
                                <a:avLst/>
                              </a:prstGeom>
                              <a:noFill/>
                              <a:ln w="6350">
                                <a:noFill/>
                              </a:ln>
                            </wps:spPr>
                            <wps:txbx>
                              <w:txbxContent>
                                <w:sdt>
                                  <w:sdtPr>
                                    <w:rPr>
                                      <w:color w:val="0E2841" w:themeColor="text2"/>
                                      <w:spacing w:val="10"/>
                                      <w:sz w:val="36"/>
                                      <w:szCs w:val="36"/>
                                    </w:rPr>
                                    <w:alias w:val="Author"/>
                                    <w:tag w:val=""/>
                                    <w:id w:val="1348599287"/>
                                    <w:dataBinding w:prefixMappings="xmlns:ns0='http://purl.org/dc/elements/1.1/' xmlns:ns1='http://schemas.openxmlformats.org/package/2006/metadata/core-properties' " w:xpath="/ns1:coreProperties[1]/ns0:creator[1]" w:storeItemID="{6C3C8BC8-F283-45AE-878A-BAB7291924A1}"/>
                                    <w15:appearance w15:val="hidden"/>
                                    <w:text/>
                                  </w:sdtPr>
                                  <w:sdtEndPr/>
                                  <w:sdtContent>
                                    <w:p w14:paraId="231D0681" w14:textId="4E1A75AB" w:rsidR="00405DEF" w:rsidRDefault="00405DEF">
                                      <w:pPr>
                                        <w:pStyle w:val="NoSpacing"/>
                                        <w:spacing w:after="240"/>
                                        <w:jc w:val="right"/>
                                        <w:rPr>
                                          <w:color w:val="0E2841" w:themeColor="text2"/>
                                          <w:spacing w:val="10"/>
                                          <w:sz w:val="36"/>
                                          <w:szCs w:val="36"/>
                                        </w:rPr>
                                      </w:pPr>
                                      <w:r>
                                        <w:rPr>
                                          <w:color w:val="0E2841" w:themeColor="text2"/>
                                          <w:spacing w:val="10"/>
                                          <w:sz w:val="36"/>
                                          <w:szCs w:val="36"/>
                                        </w:rPr>
                                        <w:t>Sachs Policy Group</w:t>
                                      </w:r>
                                    </w:p>
                                  </w:sdtContent>
                                </w:sdt>
                                <w:p w14:paraId="2B8F37D7" w14:textId="54A6D79E" w:rsidR="00405DEF" w:rsidRDefault="001E55CF">
                                  <w:pPr>
                                    <w:pStyle w:val="NoSpacing"/>
                                    <w:jc w:val="right"/>
                                    <w:rPr>
                                      <w:color w:val="0E2841" w:themeColor="text2"/>
                                      <w:spacing w:val="10"/>
                                      <w:sz w:val="28"/>
                                      <w:szCs w:val="28"/>
                                    </w:rPr>
                                  </w:pPr>
                                  <w:sdt>
                                    <w:sdtPr>
                                      <w:rPr>
                                        <w:color w:val="0E2841" w:themeColor="text2"/>
                                        <w:spacing w:val="10"/>
                                        <w:sz w:val="28"/>
                                        <w:szCs w:val="28"/>
                                      </w:rPr>
                                      <w:alias w:val="Company"/>
                                      <w:tag w:val=""/>
                                      <w:id w:val="1712304738"/>
                                      <w:dataBinding w:prefixMappings="xmlns:ns0='http://schemas.openxmlformats.org/officeDocument/2006/extended-properties' " w:xpath="/ns0:Properties[1]/ns0:Company[1]" w:storeItemID="{6668398D-A668-4E3E-A5EB-62B293D839F1}"/>
                                      <w15:appearance w15:val="hidden"/>
                                      <w:text/>
                                    </w:sdtPr>
                                    <w:sdtEndPr/>
                                    <w:sdtContent>
                                      <w:r w:rsidR="00A34616">
                                        <w:rPr>
                                          <w:color w:val="0E2841" w:themeColor="text2"/>
                                          <w:spacing w:val="10"/>
                                          <w:sz w:val="28"/>
                                          <w:szCs w:val="28"/>
                                        </w:rPr>
                                        <w:t>September 2025</w:t>
                                      </w:r>
                                    </w:sdtContent>
                                  </w:sdt>
                                </w:p>
                              </w:txbxContent>
                            </wps:txbx>
                            <wps:bodyPr rot="0" spcFirstLastPara="0" vertOverflow="overflow" horzOverflow="overflow" vert="horz" wrap="square" lIns="0" tIns="0" rIns="457200" bIns="45720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5C809D4" id="Group 121" o:spid="_x0000_s1031" alt="Title: Author and company name with crop mark graphic" style="position:absolute;margin-left:316.7pt;margin-top:0;width:367.9pt;height:265.7pt;z-index:251661312;mso-position-horizontal:right;mso-position-horizontal-relative:page;mso-position-vertical:bottom;mso-position-vertical-relative:page;mso-width-relative:margin;mso-height-relative:margin" coordsize="46718,33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">
                    <v:group id="Group 455" o:spid="_x0000_s1032" style="position:absolute;left:20383;width:26335;height:33741" coordsize="26289,3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">
                      <v:shape id="Freeform 456" o:spid="_x0000_s1033" style="position:absolute;width:21336;height:28670;visibility:visible;mso-wrap-style:square;v-text-anchor:top" coordsize="1344,1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" path="m1344,1806l,1806,,1641r1176,l1176,r168,l1344,1806xe" fillcolor="#0e2841 [3215]" stroked="f">
                        <v:path arrowok="t" o:connecttype="custom" o:connectlocs="2133600,2867025;0,2867025;0,2605088;1866900,2605088;1866900,0;2133600,0;2133600,2867025" o:connectangles="0,0,0,0,0,0,0"/>
                      </v:shape>
                      <v:rect id="Rectangle 457" o:spid="_x0000_s1034" style="position:absolute;left:95;width:26194;height:33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" filled="f" stroked="f" strokeweight="1pt"/>
                    </v:group>
                    <v:shape id="Text Box 458" o:spid="_x0000_s1035" type="#_x0000_t202" style="position:absolute;top:11049;width:39042;height:1504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" filled="f" stroked="f" strokeweight=".5pt">
                      <v:textbox inset="0,0,36pt,36pt">
                        <w:txbxContent>
                          <w:sdt>
                            <w:sdtPr>
                              <w:rPr>
                                <w:color w:val="0E2841" w:themeColor="text2"/>
                                <w:spacing w:val="10"/>
                                <w:sz w:val="36"/>
                                <w:szCs w:val="36"/>
                              </w:rPr>
                              <w:alias w:val="Author"/>
                              <w:tag w:val=""/>
                              <w:id w:val="1348599287"/>
                              <w:dataBinding w:prefixMappings="xmlns:ns0='http://purl.org/dc/elements/1.1/' xmlns:ns1='http://schemas.openxmlformats.org/package/2006/metadata/core-properties' " w:xpath="/ns1:coreProperties[1]/ns0:creator[1]" w:storeItemID="{6C3C8BC8-F283-45AE-878A-BAB7291924A1}"/>
                              <w15:appearance w15:val="hidden"/>
                              <w:text/>
                            </w:sdtPr>
                            <w:sdtEndPr/>
                            <w:sdtContent>
                              <w:p w14:paraId="231D0681" w14:textId="4E1A75AB" w:rsidR="00405DEF" w:rsidRDefault="00405DEF">
                                <w:pPr>
                                  <w:pStyle w:val="NoSpacing"/>
                                  <w:spacing w:after="240"/>
                                  <w:jc w:val="right"/>
                                  <w:rPr>
                                    <w:color w:val="0E2841" w:themeColor="text2"/>
                                    <w:spacing w:val="10"/>
                                    <w:sz w:val="36"/>
                                    <w:szCs w:val="36"/>
                                  </w:rPr>
                                </w:pPr>
                                <w:r>
                                  <w:rPr>
                                    <w:color w:val="0E2841" w:themeColor="text2"/>
                                    <w:spacing w:val="10"/>
                                    <w:sz w:val="36"/>
                                    <w:szCs w:val="36"/>
                                  </w:rPr>
                                  <w:t>Sachs Policy Group</w:t>
                                </w:r>
                              </w:p>
                            </w:sdtContent>
                          </w:sdt>
                          <w:p w14:paraId="2B8F37D7" w14:textId="54A6D79E" w:rsidR="00405DEF" w:rsidRDefault="00F1480B">
                            <w:pPr>
                              <w:pStyle w:val="NoSpacing"/>
                              <w:jc w:val="right"/>
                              <w:rPr>
                                <w:color w:val="0E2841" w:themeColor="text2"/>
                                <w:spacing w:val="10"/>
                                <w:sz w:val="28"/>
                                <w:szCs w:val="28"/>
                              </w:rPr>
                            </w:pPr>
                            <w:sdt>
                              <w:sdtPr>
                                <w:rPr>
                                  <w:color w:val="0E2841" w:themeColor="text2"/>
                                  <w:spacing w:val="10"/>
                                  <w:sz w:val="28"/>
                                  <w:szCs w:val="28"/>
                                </w:rPr>
                                <w:alias w:val="Company"/>
                                <w:tag w:val=""/>
                                <w:id w:val="1712304738"/>
                                <w:dataBinding w:prefixMappings="xmlns:ns0='http://schemas.openxmlformats.org/officeDocument/2006/extended-properties' " w:xpath="/ns0:Properties[1]/ns0:Company[1]" w:storeItemID="{6668398D-A668-4E3E-A5EB-62B293D839F1}"/>
                                <w15:appearance w15:val="hidden"/>
                                <w:text/>
                              </w:sdtPr>
                              <w:sdtEndPr/>
                              <w:sdtContent>
                                <w:r w:rsidR="00A34616">
                                  <w:rPr>
                                    <w:color w:val="0E2841" w:themeColor="text2"/>
                                    <w:spacing w:val="10"/>
                                    <w:sz w:val="28"/>
                                    <w:szCs w:val="28"/>
                                  </w:rPr>
                                  <w:t>September 2025</w:t>
                                </w:r>
                              </w:sdtContent>
                            </w:sdt>
                          </w:p>
                        </w:txbxContent>
                      </v:textbox>
                    </v:shape>
                    <w10:wrap anchorx="page" anchory="page"/>
                  </v:group>
                </w:pict>
              </mc:Fallback>
            </mc:AlternateContent>
          </w:r>
          <w:r>
            <w:rPr>
              <w:noProof/>
            </w:rPr>
            <mc:AlternateContent>
              <mc:Choice Requires="wps">
                <w:drawing>
                  <wp:anchor distT="0" distB="0" distL="114300" distR="114300" simplePos="0" relativeHeight="251659264" behindDoc="1" locked="0" layoutInCell="1" allowOverlap="1" wp14:anchorId="2FA01DA5" wp14:editId="2C9E0D46">
                    <wp:simplePos x="0" y="0"/>
                    <wp:positionH relativeFrom="page">
                      <wp:align>center</wp:align>
                    </wp:positionH>
                    <wp:positionV relativeFrom="page">
                      <wp:align>center</wp:align>
                    </wp:positionV>
                    <wp:extent cx="7315200" cy="9601200"/>
                    <wp:effectExtent l="0" t="0" r="1270" b="5715"/>
                    <wp:wrapNone/>
                    <wp:docPr id="464" name="Rectangle 127" title="Color 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9601200"/>
                            </a:xfrm>
                            <a:prstGeom prst="rect">
                              <a:avLst/>
                            </a:prstGeom>
                            <a:solidFill>
                              <a:schemeClr val="bg2"/>
                            </a:solidFill>
                            <a:ln>
                              <a:noFill/>
                            </a:ln>
                          </wps:spPr>
                          <wps:bodyPr vert="horz" wrap="square" lIns="91440" tIns="45720" rIns="91440" bIns="45720" numCol="1" anchor="t" anchorCtr="0" compatLnSpc="1">
                            <a:prstTxWarp prst="textNoShape">
                              <a:avLst/>
                            </a:prstTxWarp>
                          </wps:bodyPr>
                        </wps:wsp>
                      </a:graphicData>
                    </a:graphic>
                    <wp14:sizeRelH relativeFrom="page">
                      <wp14:pctWidth>94100</wp14:pctWidth>
                    </wp14:sizeRelH>
                    <wp14:sizeRelV relativeFrom="page">
                      <wp14:pctHeight>95400</wp14:pctHeight>
                    </wp14:sizeRelV>
                  </wp:anchor>
                </w:drawing>
              </mc:Choice>
              <mc:Fallback>
                <w:pict>
                  <v:rect w14:anchorId="0C79720D" id="Rectangle 127" o:spid="_x0000_s1026" alt="Title: Color background" style="position:absolute;margin-left:0;margin-top:0;width:8in;height:756pt;z-index:-251657216;visibility:visible;mso-wrap-style:square;mso-width-percent:941;mso-height-percent:954;mso-wrap-distance-left:9pt;mso-wrap-distance-top:0;mso-wrap-distance-right:9pt;mso-wrap-distance-bottom:0;mso-position-horizontal:center;mso-position-horizontal-relative:page;mso-position-vertical:center;mso-position-vertical-relative:page;mso-width-percent:941;mso-height-percent:954;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" fillcolor="#e8e8e8 [3214]" stroked="f">
                    <w10:wrap anchorx="page" anchory="page"/>
                  </v:rect>
                </w:pict>
              </mc:Fallback>
            </mc:AlternateContent>
          </w:r>
        </w:p>
        <w:p w14:paraId="3DAEB073" w14:textId="6E3819D0" w:rsidR="00405DEF" w:rsidRDefault="00DD7E88">
          <w:pPr>
            <w:rPr>
              <w:rFonts w:ascii="Baskerville Old Face" w:hAnsi="Baskerville Old Face" w:cs="Times New Roman (Body CS)"/>
              <w:b/>
              <w:smallCaps/>
              <w:color w:val="0F357F"/>
              <w:sz w:val="48"/>
              <w:szCs w:val="48"/>
            </w:rPr>
          </w:pPr>
          <w:r>
            <w:rPr>
              <w:noProof/>
            </w:rPr>
            <mc:AlternateContent>
              <mc:Choice Requires="wps">
                <w:drawing>
                  <wp:anchor distT="0" distB="0" distL="114300" distR="114300" simplePos="0" relativeHeight="251663360" behindDoc="0" locked="0" layoutInCell="1" allowOverlap="1" wp14:anchorId="6BDACA94" wp14:editId="542E0258">
                    <wp:simplePos x="0" y="0"/>
                    <wp:positionH relativeFrom="column">
                      <wp:posOffset>3356548</wp:posOffset>
                    </wp:positionH>
                    <wp:positionV relativeFrom="paragraph">
                      <wp:posOffset>4498521</wp:posOffset>
                    </wp:positionV>
                    <wp:extent cx="2728595" cy="2087880"/>
                    <wp:effectExtent l="0" t="0" r="0" b="0"/>
                    <wp:wrapNone/>
                    <wp:docPr id="9" name="Text Box 9"/>
                    <wp:cNvGraphicFramePr/>
                    <a:graphic xmlns:a="http://schemas.openxmlformats.org/drawingml/2006/main">
                      <a:graphicData uri="http://schemas.microsoft.com/office/word/2010/wordprocessingShape">
                        <wps:wsp>
                          <wps:cNvSpPr txBox="1"/>
                          <wps:spPr>
                            <a:xfrm flipH="1">
                              <a:off x="0" y="0"/>
                              <a:ext cx="2728595" cy="2087880"/>
                            </a:xfrm>
                            <a:prstGeom prst="rect">
                              <a:avLst/>
                            </a:prstGeom>
                            <a:noFill/>
                            <a:ln w="6350">
                              <a:noFill/>
                            </a:ln>
                          </wps:spPr>
                          <wps:txbx>
                            <w:txbxContent>
                              <w:sdt>
                                <w:sdtPr>
                                  <w:rPr>
                                    <w:rFonts w:asciiTheme="majorHAnsi" w:hAnsiTheme="majorHAnsi"/>
                                    <w:color w:val="0E2841" w:themeColor="text2"/>
                                    <w:spacing w:val="10"/>
                                    <w:sz w:val="36"/>
                                    <w:szCs w:val="36"/>
                                  </w:rPr>
                                  <w:alias w:val="Subtitle"/>
                                  <w:tag w:val=""/>
                                  <w:id w:val="600295081"/>
                                  <w:showingPlcHdr/>
                                  <w:dataBinding w:prefixMappings="xmlns:ns0='http://purl.org/dc/elements/1.1/' xmlns:ns1='http://schemas.openxmlformats.org/package/2006/metadata/core-properties' " w:xpath="/ns1:coreProperties[1]/ns0:subject[1]" w:storeItemID="{6C3C8BC8-F283-45AE-878A-BAB7291924A1}"/>
                                  <w15:appearance w15:val="hidden"/>
                                  <w:text/>
                                </w:sdtPr>
                                <w:sdtEndPr/>
                                <w:sdtContent>
                                  <w:p w14:paraId="545A748B" w14:textId="77777777" w:rsidR="00DD7E88" w:rsidRDefault="00DD7E88" w:rsidP="00DD7E88">
                                    <w:pPr>
                                      <w:pStyle w:val="NoSpacing"/>
                                      <w:spacing w:after="240" w:line="216" w:lineRule="auto"/>
                                      <w:rPr>
                                        <w:rFonts w:asciiTheme="majorHAnsi" w:hAnsiTheme="majorHAnsi"/>
                                        <w:color w:val="0E2841" w:themeColor="text2"/>
                                        <w:spacing w:val="10"/>
                                        <w:sz w:val="36"/>
                                        <w:szCs w:val="36"/>
                                      </w:rPr>
                                    </w:pPr>
                                    <w:r>
                                      <w:rPr>
                                        <w:rFonts w:asciiTheme="majorHAnsi" w:hAnsiTheme="majorHAnsi"/>
                                        <w:color w:val="0E2841" w:themeColor="text2"/>
                                        <w:spacing w:val="10"/>
                                        <w:sz w:val="36"/>
                                        <w:szCs w:val="36"/>
                                      </w:rPr>
                                      <w:t xml:space="preserve">     </w:t>
                                    </w:r>
                                  </w:p>
                                </w:sdtContent>
                              </w:sdt>
                              <w:p w14:paraId="2D35E54B" w14:textId="217C8465" w:rsidR="00DD7E88" w:rsidRPr="00B57A8B" w:rsidRDefault="00DD7E88" w:rsidP="00DD7E88">
                                <w:pPr>
                                  <w:jc w:val="center"/>
                                  <w:rPr>
                                    <w:rFonts w:ascii="Helvetica Neue" w:hAnsi="Helvetica Neue"/>
                                    <w:b/>
                                    <w:bCs/>
                                    <w:color w:val="FFFFFF" w:themeColor="background1"/>
                                    <w:sz w:val="160"/>
                                    <w:szCs w:val="160"/>
                                  </w:rPr>
                                </w:pPr>
                                <w:r>
                                  <w:rPr>
                                    <w:rFonts w:ascii="Helvetica Neue" w:hAnsi="Helvetica Neue"/>
                                    <w:b/>
                                    <w:bCs/>
                                    <w:color w:val="FFFFFF" w:themeColor="background1"/>
                                    <w:sz w:val="160"/>
                                    <w:szCs w:val="160"/>
                                  </w:rPr>
                                  <w:t>spg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DACA94" id="Text Box 9" o:spid="_x0000_s1036" type="#_x0000_t202" style="position:absolute;margin-left:264.3pt;margin-top:354.2pt;width:214.85pt;height:164.4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" filled="f" stroked="f" strokeweight=".5pt">
                    <v:textbox>
                      <w:txbxContent>
                        <w:sdt>
                          <w:sdtPr>
                            <w:rPr>
                              <w:rFonts w:asciiTheme="majorHAnsi" w:hAnsiTheme="majorHAnsi"/>
                              <w:color w:val="0E2841" w:themeColor="text2"/>
                              <w:spacing w:val="10"/>
                              <w:sz w:val="36"/>
                              <w:szCs w:val="36"/>
                            </w:rPr>
                            <w:alias w:val="Subtitle"/>
                            <w:tag w:val=""/>
                            <w:id w:val="600295081"/>
                            <w:showingPlcHdr/>
                            <w:dataBinding w:prefixMappings="xmlns:ns0='http://purl.org/dc/elements/1.1/' xmlns:ns1='http://schemas.openxmlformats.org/package/2006/metadata/core-properties' " w:xpath="/ns1:coreProperties[1]/ns0:subject[1]" w:storeItemID="{6C3C8BC8-F283-45AE-878A-BAB7291924A1}"/>
                            <w15:appearance w15:val="hidden"/>
                            <w:text/>
                          </w:sdtPr>
                          <w:sdtEndPr/>
                          <w:sdtContent>
                            <w:p w14:paraId="545A748B" w14:textId="77777777" w:rsidR="00DD7E88" w:rsidRDefault="00DD7E88" w:rsidP="00DD7E88">
                              <w:pPr>
                                <w:pStyle w:val="NoSpacing"/>
                                <w:spacing w:after="240" w:line="216" w:lineRule="auto"/>
                                <w:rPr>
                                  <w:rFonts w:asciiTheme="majorHAnsi" w:hAnsiTheme="majorHAnsi"/>
                                  <w:color w:val="0E2841" w:themeColor="text2"/>
                                  <w:spacing w:val="10"/>
                                  <w:sz w:val="36"/>
                                  <w:szCs w:val="36"/>
                                </w:rPr>
                              </w:pPr>
                              <w:r>
                                <w:rPr>
                                  <w:rFonts w:asciiTheme="majorHAnsi" w:hAnsiTheme="majorHAnsi"/>
                                  <w:color w:val="0E2841" w:themeColor="text2"/>
                                  <w:spacing w:val="10"/>
                                  <w:sz w:val="36"/>
                                  <w:szCs w:val="36"/>
                                </w:rPr>
                                <w:t xml:space="preserve">     </w:t>
                              </w:r>
                            </w:p>
                          </w:sdtContent>
                        </w:sdt>
                        <w:p w14:paraId="2D35E54B" w14:textId="217C8465" w:rsidR="00DD7E88" w:rsidRPr="00B57A8B" w:rsidRDefault="00DD7E88" w:rsidP="00DD7E88">
                          <w:pPr>
                            <w:jc w:val="center"/>
                            <w:rPr>
                              <w:rFonts w:ascii="Helvetica Neue" w:hAnsi="Helvetica Neue"/>
                              <w:b/>
                              <w:bCs/>
                              <w:color w:val="FFFFFF" w:themeColor="background1"/>
                              <w:sz w:val="160"/>
                              <w:szCs w:val="160"/>
                            </w:rPr>
                          </w:pPr>
                          <w:r>
                            <w:rPr>
                              <w:rFonts w:ascii="Helvetica Neue" w:hAnsi="Helvetica Neue"/>
                              <w:b/>
                              <w:bCs/>
                              <w:color w:val="FFFFFF" w:themeColor="background1"/>
                              <w:sz w:val="160"/>
                              <w:szCs w:val="160"/>
                            </w:rPr>
                            <w:t>spg</w:t>
                          </w:r>
                        </w:p>
                      </w:txbxContent>
                    </v:textbox>
                  </v:shape>
                </w:pict>
              </mc:Fallback>
            </mc:AlternateContent>
          </w:r>
          <w:r w:rsidR="00405DEF">
            <w:br w:type="page"/>
          </w:r>
        </w:p>
      </w:sdtContent>
    </w:sdt>
    <w:p w14:paraId="0CA91A93" w14:textId="5495CB5D" w:rsidR="0011442A" w:rsidRDefault="00402F0A" w:rsidP="00E82CFC">
      <w:pPr>
        <w:pStyle w:val="Heading1"/>
        <w:rPr>
          <w:rFonts w:asciiTheme="minorHAnsi" w:hAnsiTheme="minorHAnsi"/>
          <w:b w:val="0"/>
          <w:bCs w:val="0"/>
          <w:i/>
          <w:iCs/>
          <w:smallCaps/>
          <w:noProof/>
          <w:sz w:val="24"/>
        </w:rPr>
      </w:pPr>
      <w:bookmarkStart w:id="0" w:name="_Toc207703996"/>
      <w:r w:rsidRPr="00987E02">
        <w:lastRenderedPageBreak/>
        <w:t>Table of Contents</w:t>
      </w:r>
      <w:bookmarkEnd w:id="0"/>
      <w:r w:rsidRPr="002C010B">
        <w:rPr>
          <w:rFonts w:eastAsia="Cambria" w:cs="Times New Roman"/>
          <w:i/>
          <w:iCs/>
          <w:smallCaps/>
          <w:noProof/>
          <w:color w:val="auto"/>
          <w:kern w:val="0"/>
          <w:sz w:val="18"/>
          <w:szCs w:val="18"/>
          <w:lang w:eastAsia="en-US"/>
          <w14:ligatures w14:val="none"/>
        </w:rPr>
        <w:fldChar w:fldCharType="begin"/>
      </w:r>
      <w:r w:rsidRPr="002C010B">
        <w:rPr>
          <w:rFonts w:cs="Times New Roman"/>
          <w:sz w:val="18"/>
          <w:szCs w:val="18"/>
        </w:rPr>
        <w:instrText xml:space="preserve"> TOC \o "1-3" \n "3-3" \h \z \u </w:instrText>
      </w:r>
      <w:r w:rsidRPr="002C010B">
        <w:rPr>
          <w:rFonts w:eastAsia="Cambria" w:cs="Times New Roman"/>
          <w:i/>
          <w:iCs/>
          <w:smallCaps/>
          <w:noProof/>
          <w:color w:val="auto"/>
          <w:kern w:val="0"/>
          <w:sz w:val="18"/>
          <w:szCs w:val="18"/>
          <w:lang w:eastAsia="en-US"/>
          <w14:ligatures w14:val="none"/>
        </w:rPr>
        <w:fldChar w:fldCharType="separate"/>
      </w:r>
    </w:p>
    <w:p w14:paraId="4E6D3F9C" w14:textId="2887C82F" w:rsidR="0011442A" w:rsidRPr="00E82CFC" w:rsidRDefault="0011442A" w:rsidP="00E82CFC">
      <w:pPr>
        <w:pStyle w:val="TOC1"/>
        <w:rPr>
          <w:rFonts w:eastAsiaTheme="minorEastAsia" w:cstheme="minorBidi"/>
          <w:kern w:val="2"/>
          <w14:ligatures w14:val="standardContextual"/>
        </w:rPr>
      </w:pPr>
      <w:hyperlink w:anchor="_Toc207703997" w:history="1">
        <w:r w:rsidRPr="00E82CFC">
          <w:rPr>
            <w:rStyle w:val="Hyperlink"/>
          </w:rPr>
          <w:t>Introduction</w:t>
        </w:r>
        <w:r w:rsidRPr="00E82CFC">
          <w:rPr>
            <w:webHidden/>
          </w:rPr>
          <w:tab/>
        </w:r>
        <w:r w:rsidRPr="00E82CFC">
          <w:rPr>
            <w:webHidden/>
          </w:rPr>
          <w:fldChar w:fldCharType="begin"/>
        </w:r>
        <w:r w:rsidRPr="00E82CFC">
          <w:rPr>
            <w:webHidden/>
          </w:rPr>
          <w:instrText xml:space="preserve"> PAGEREF _Toc207703997 \h </w:instrText>
        </w:r>
        <w:r w:rsidRPr="00E82CFC">
          <w:rPr>
            <w:webHidden/>
          </w:rPr>
        </w:r>
        <w:r w:rsidRPr="00E82CFC">
          <w:rPr>
            <w:webHidden/>
          </w:rPr>
          <w:fldChar w:fldCharType="separate"/>
        </w:r>
        <w:r w:rsidR="005B3E7D">
          <w:rPr>
            <w:webHidden/>
          </w:rPr>
          <w:t>3</w:t>
        </w:r>
        <w:r w:rsidRPr="00E82CFC">
          <w:rPr>
            <w:webHidden/>
          </w:rPr>
          <w:fldChar w:fldCharType="end"/>
        </w:r>
      </w:hyperlink>
    </w:p>
    <w:p w14:paraId="502E2514" w14:textId="7FB50000" w:rsidR="0011442A" w:rsidRPr="00E82CFC" w:rsidRDefault="0011442A">
      <w:pPr>
        <w:pStyle w:val="TOC2"/>
        <w:rPr>
          <w:rFonts w:ascii="Helvetica" w:eastAsiaTheme="minorEastAsia" w:hAnsi="Helvetica" w:cstheme="minorBidi"/>
          <w:b w:val="0"/>
          <w:bCs w:val="0"/>
          <w:noProof/>
          <w:kern w:val="2"/>
          <w:sz w:val="18"/>
          <w:szCs w:val="18"/>
          <w14:ligatures w14:val="standardContextual"/>
        </w:rPr>
      </w:pPr>
      <w:hyperlink w:anchor="_Toc207703998" w:history="1">
        <w:r w:rsidRPr="00E82CFC">
          <w:rPr>
            <w:rStyle w:val="Hyperlink"/>
            <w:rFonts w:ascii="Helvetica" w:hAnsi="Helvetica"/>
            <w:noProof/>
            <w:sz w:val="18"/>
            <w:szCs w:val="18"/>
          </w:rPr>
          <w:t>Program Structure</w:t>
        </w:r>
        <w:r w:rsidRPr="00E82CFC">
          <w:rPr>
            <w:rFonts w:ascii="Helvetica" w:hAnsi="Helvetica"/>
            <w:noProof/>
            <w:webHidden/>
            <w:sz w:val="18"/>
            <w:szCs w:val="18"/>
          </w:rPr>
          <w:tab/>
        </w:r>
        <w:r w:rsidRPr="00E82CFC">
          <w:rPr>
            <w:rFonts w:ascii="Helvetica" w:hAnsi="Helvetica"/>
            <w:noProof/>
            <w:webHidden/>
            <w:sz w:val="18"/>
            <w:szCs w:val="18"/>
          </w:rPr>
          <w:fldChar w:fldCharType="begin"/>
        </w:r>
        <w:r w:rsidRPr="00E82CFC">
          <w:rPr>
            <w:rFonts w:ascii="Helvetica" w:hAnsi="Helvetica"/>
            <w:noProof/>
            <w:webHidden/>
            <w:sz w:val="18"/>
            <w:szCs w:val="18"/>
          </w:rPr>
          <w:instrText xml:space="preserve"> PAGEREF _Toc207703998 \h </w:instrText>
        </w:r>
        <w:r w:rsidRPr="00E82CFC">
          <w:rPr>
            <w:rFonts w:ascii="Helvetica" w:hAnsi="Helvetica"/>
            <w:noProof/>
            <w:webHidden/>
            <w:sz w:val="18"/>
            <w:szCs w:val="18"/>
          </w:rPr>
        </w:r>
        <w:r w:rsidRPr="00E82CFC">
          <w:rPr>
            <w:rFonts w:ascii="Helvetica" w:hAnsi="Helvetica"/>
            <w:noProof/>
            <w:webHidden/>
            <w:sz w:val="18"/>
            <w:szCs w:val="18"/>
          </w:rPr>
          <w:fldChar w:fldCharType="separate"/>
        </w:r>
        <w:r w:rsidR="005B3E7D">
          <w:rPr>
            <w:rFonts w:ascii="Helvetica" w:hAnsi="Helvetica"/>
            <w:noProof/>
            <w:webHidden/>
            <w:sz w:val="18"/>
            <w:szCs w:val="18"/>
          </w:rPr>
          <w:t>3</w:t>
        </w:r>
        <w:r w:rsidRPr="00E82CFC">
          <w:rPr>
            <w:rFonts w:ascii="Helvetica" w:hAnsi="Helvetica"/>
            <w:noProof/>
            <w:webHidden/>
            <w:sz w:val="18"/>
            <w:szCs w:val="18"/>
          </w:rPr>
          <w:fldChar w:fldCharType="end"/>
        </w:r>
      </w:hyperlink>
    </w:p>
    <w:p w14:paraId="15514F34" w14:textId="11F4D51C" w:rsidR="0011442A" w:rsidRPr="00E82CFC" w:rsidRDefault="0011442A">
      <w:pPr>
        <w:pStyle w:val="TOC2"/>
        <w:rPr>
          <w:rFonts w:ascii="Helvetica" w:eastAsiaTheme="minorEastAsia" w:hAnsi="Helvetica" w:cstheme="minorBidi"/>
          <w:b w:val="0"/>
          <w:bCs w:val="0"/>
          <w:noProof/>
          <w:kern w:val="2"/>
          <w:sz w:val="18"/>
          <w:szCs w:val="18"/>
          <w14:ligatures w14:val="standardContextual"/>
        </w:rPr>
      </w:pPr>
      <w:hyperlink w:anchor="_Toc207703999" w:history="1">
        <w:r w:rsidRPr="00E82CFC">
          <w:rPr>
            <w:rStyle w:val="Hyperlink"/>
            <w:rFonts w:ascii="Helvetica" w:hAnsi="Helvetica"/>
            <w:noProof/>
            <w:sz w:val="18"/>
            <w:szCs w:val="18"/>
          </w:rPr>
          <w:t>Medicaid Reform Initiatives</w:t>
        </w:r>
        <w:r w:rsidRPr="00E82CFC">
          <w:rPr>
            <w:rFonts w:ascii="Helvetica" w:hAnsi="Helvetica"/>
            <w:noProof/>
            <w:webHidden/>
            <w:sz w:val="18"/>
            <w:szCs w:val="18"/>
          </w:rPr>
          <w:tab/>
        </w:r>
        <w:r w:rsidRPr="00E82CFC">
          <w:rPr>
            <w:rFonts w:ascii="Helvetica" w:hAnsi="Helvetica"/>
            <w:noProof/>
            <w:webHidden/>
            <w:sz w:val="18"/>
            <w:szCs w:val="18"/>
          </w:rPr>
          <w:fldChar w:fldCharType="begin"/>
        </w:r>
        <w:r w:rsidRPr="00E82CFC">
          <w:rPr>
            <w:rFonts w:ascii="Helvetica" w:hAnsi="Helvetica"/>
            <w:noProof/>
            <w:webHidden/>
            <w:sz w:val="18"/>
            <w:szCs w:val="18"/>
          </w:rPr>
          <w:instrText xml:space="preserve"> PAGEREF _Toc207703999 \h </w:instrText>
        </w:r>
        <w:r w:rsidRPr="00E82CFC">
          <w:rPr>
            <w:rFonts w:ascii="Helvetica" w:hAnsi="Helvetica"/>
            <w:noProof/>
            <w:webHidden/>
            <w:sz w:val="18"/>
            <w:szCs w:val="18"/>
          </w:rPr>
        </w:r>
        <w:r w:rsidRPr="00E82CFC">
          <w:rPr>
            <w:rFonts w:ascii="Helvetica" w:hAnsi="Helvetica"/>
            <w:noProof/>
            <w:webHidden/>
            <w:sz w:val="18"/>
            <w:szCs w:val="18"/>
          </w:rPr>
          <w:fldChar w:fldCharType="separate"/>
        </w:r>
        <w:r w:rsidR="005B3E7D">
          <w:rPr>
            <w:rFonts w:ascii="Helvetica" w:hAnsi="Helvetica"/>
            <w:noProof/>
            <w:webHidden/>
            <w:sz w:val="18"/>
            <w:szCs w:val="18"/>
          </w:rPr>
          <w:t>3</w:t>
        </w:r>
        <w:r w:rsidRPr="00E82CFC">
          <w:rPr>
            <w:rFonts w:ascii="Helvetica" w:hAnsi="Helvetica"/>
            <w:noProof/>
            <w:webHidden/>
            <w:sz w:val="18"/>
            <w:szCs w:val="18"/>
          </w:rPr>
          <w:fldChar w:fldCharType="end"/>
        </w:r>
      </w:hyperlink>
    </w:p>
    <w:p w14:paraId="6B5836AF" w14:textId="23668029" w:rsidR="0011442A" w:rsidRPr="00E82CFC" w:rsidRDefault="0011442A" w:rsidP="00E82CFC">
      <w:pPr>
        <w:pStyle w:val="TOC1"/>
        <w:rPr>
          <w:rFonts w:eastAsiaTheme="minorEastAsia" w:cstheme="minorBidi"/>
          <w:kern w:val="2"/>
          <w14:ligatures w14:val="standardContextual"/>
        </w:rPr>
      </w:pPr>
      <w:hyperlink w:anchor="_Toc207704000" w:history="1">
        <w:r w:rsidRPr="00E82CFC">
          <w:rPr>
            <w:rStyle w:val="Hyperlink"/>
          </w:rPr>
          <w:t>Managed Care and Care Management</w:t>
        </w:r>
        <w:r w:rsidRPr="00E82CFC">
          <w:rPr>
            <w:webHidden/>
          </w:rPr>
          <w:tab/>
        </w:r>
        <w:r w:rsidRPr="00E82CFC">
          <w:rPr>
            <w:webHidden/>
          </w:rPr>
          <w:fldChar w:fldCharType="begin"/>
        </w:r>
        <w:r w:rsidRPr="00E82CFC">
          <w:rPr>
            <w:webHidden/>
          </w:rPr>
          <w:instrText xml:space="preserve"> PAGEREF _Toc207704000 \h </w:instrText>
        </w:r>
        <w:r w:rsidRPr="00E82CFC">
          <w:rPr>
            <w:webHidden/>
          </w:rPr>
        </w:r>
        <w:r w:rsidRPr="00E82CFC">
          <w:rPr>
            <w:webHidden/>
          </w:rPr>
          <w:fldChar w:fldCharType="separate"/>
        </w:r>
        <w:r w:rsidR="005B3E7D">
          <w:rPr>
            <w:webHidden/>
          </w:rPr>
          <w:t>4</w:t>
        </w:r>
        <w:r w:rsidRPr="00E82CFC">
          <w:rPr>
            <w:webHidden/>
          </w:rPr>
          <w:fldChar w:fldCharType="end"/>
        </w:r>
      </w:hyperlink>
    </w:p>
    <w:p w14:paraId="3236CBA4" w14:textId="6253F19F" w:rsidR="0011442A" w:rsidRPr="00E82CFC" w:rsidRDefault="0011442A">
      <w:pPr>
        <w:pStyle w:val="TOC2"/>
        <w:rPr>
          <w:rFonts w:ascii="Helvetica" w:eastAsiaTheme="minorEastAsia" w:hAnsi="Helvetica" w:cstheme="minorBidi"/>
          <w:b w:val="0"/>
          <w:bCs w:val="0"/>
          <w:noProof/>
          <w:kern w:val="2"/>
          <w:sz w:val="18"/>
          <w:szCs w:val="18"/>
          <w14:ligatures w14:val="standardContextual"/>
        </w:rPr>
      </w:pPr>
      <w:hyperlink w:anchor="_Toc207704001" w:history="1">
        <w:r w:rsidRPr="00E82CFC">
          <w:rPr>
            <w:rStyle w:val="Hyperlink"/>
            <w:rFonts w:ascii="Helvetica" w:hAnsi="Helvetica"/>
            <w:noProof/>
            <w:sz w:val="18"/>
            <w:szCs w:val="18"/>
          </w:rPr>
          <w:t>Medicaid Managed Care Plans</w:t>
        </w:r>
        <w:r w:rsidRPr="00E82CFC">
          <w:rPr>
            <w:rFonts w:ascii="Helvetica" w:hAnsi="Helvetica"/>
            <w:noProof/>
            <w:webHidden/>
            <w:sz w:val="18"/>
            <w:szCs w:val="18"/>
          </w:rPr>
          <w:tab/>
        </w:r>
        <w:r w:rsidRPr="00E82CFC">
          <w:rPr>
            <w:rFonts w:ascii="Helvetica" w:hAnsi="Helvetica"/>
            <w:noProof/>
            <w:webHidden/>
            <w:sz w:val="18"/>
            <w:szCs w:val="18"/>
          </w:rPr>
          <w:fldChar w:fldCharType="begin"/>
        </w:r>
        <w:r w:rsidRPr="00E82CFC">
          <w:rPr>
            <w:rFonts w:ascii="Helvetica" w:hAnsi="Helvetica"/>
            <w:noProof/>
            <w:webHidden/>
            <w:sz w:val="18"/>
            <w:szCs w:val="18"/>
          </w:rPr>
          <w:instrText xml:space="preserve"> PAGEREF _Toc207704001 \h </w:instrText>
        </w:r>
        <w:r w:rsidRPr="00E82CFC">
          <w:rPr>
            <w:rFonts w:ascii="Helvetica" w:hAnsi="Helvetica"/>
            <w:noProof/>
            <w:webHidden/>
            <w:sz w:val="18"/>
            <w:szCs w:val="18"/>
          </w:rPr>
        </w:r>
        <w:r w:rsidRPr="00E82CFC">
          <w:rPr>
            <w:rFonts w:ascii="Helvetica" w:hAnsi="Helvetica"/>
            <w:noProof/>
            <w:webHidden/>
            <w:sz w:val="18"/>
            <w:szCs w:val="18"/>
          </w:rPr>
          <w:fldChar w:fldCharType="separate"/>
        </w:r>
        <w:r w:rsidR="005B3E7D">
          <w:rPr>
            <w:rFonts w:ascii="Helvetica" w:hAnsi="Helvetica"/>
            <w:noProof/>
            <w:webHidden/>
            <w:sz w:val="18"/>
            <w:szCs w:val="18"/>
          </w:rPr>
          <w:t>4</w:t>
        </w:r>
        <w:r w:rsidRPr="00E82CFC">
          <w:rPr>
            <w:rFonts w:ascii="Helvetica" w:hAnsi="Helvetica"/>
            <w:noProof/>
            <w:webHidden/>
            <w:sz w:val="18"/>
            <w:szCs w:val="18"/>
          </w:rPr>
          <w:fldChar w:fldCharType="end"/>
        </w:r>
      </w:hyperlink>
    </w:p>
    <w:p w14:paraId="7B2F13FD" w14:textId="669DA4BC" w:rsidR="0011442A" w:rsidRPr="00E82CFC" w:rsidRDefault="0011442A">
      <w:pPr>
        <w:pStyle w:val="TOC3"/>
        <w:tabs>
          <w:tab w:val="right" w:leader="dot" w:pos="9350"/>
        </w:tabs>
        <w:rPr>
          <w:rFonts w:ascii="Helvetica" w:eastAsiaTheme="minorEastAsia" w:hAnsi="Helvetica" w:cstheme="minorBidi"/>
          <w:noProof/>
          <w:kern w:val="2"/>
          <w:szCs w:val="18"/>
          <w14:ligatures w14:val="standardContextual"/>
        </w:rPr>
      </w:pPr>
      <w:hyperlink w:anchor="_Toc207704002" w:history="1">
        <w:r w:rsidRPr="00E82CFC">
          <w:rPr>
            <w:rStyle w:val="Hyperlink"/>
            <w:rFonts w:ascii="Helvetica" w:hAnsi="Helvetica"/>
            <w:noProof/>
            <w:szCs w:val="18"/>
          </w:rPr>
          <w:t>Pharmacy Carve-out</w:t>
        </w:r>
      </w:hyperlink>
    </w:p>
    <w:p w14:paraId="581EC0B4" w14:textId="53CE75EA" w:rsidR="0011442A" w:rsidRPr="00E82CFC" w:rsidRDefault="0011442A">
      <w:pPr>
        <w:pStyle w:val="TOC2"/>
        <w:rPr>
          <w:rFonts w:ascii="Helvetica" w:eastAsiaTheme="minorEastAsia" w:hAnsi="Helvetica" w:cstheme="minorBidi"/>
          <w:b w:val="0"/>
          <w:bCs w:val="0"/>
          <w:noProof/>
          <w:kern w:val="2"/>
          <w:sz w:val="18"/>
          <w:szCs w:val="18"/>
          <w14:ligatures w14:val="standardContextual"/>
        </w:rPr>
      </w:pPr>
      <w:hyperlink w:anchor="_Toc207704003" w:history="1">
        <w:r w:rsidRPr="00E82CFC">
          <w:rPr>
            <w:rStyle w:val="Hyperlink"/>
            <w:rFonts w:ascii="Helvetica" w:hAnsi="Helvetica"/>
            <w:noProof/>
            <w:sz w:val="18"/>
            <w:szCs w:val="18"/>
          </w:rPr>
          <w:t>Health Homes</w:t>
        </w:r>
        <w:r w:rsidRPr="00E82CFC">
          <w:rPr>
            <w:rFonts w:ascii="Helvetica" w:hAnsi="Helvetica"/>
            <w:noProof/>
            <w:webHidden/>
            <w:sz w:val="18"/>
            <w:szCs w:val="18"/>
          </w:rPr>
          <w:tab/>
        </w:r>
        <w:r w:rsidRPr="00E82CFC">
          <w:rPr>
            <w:rFonts w:ascii="Helvetica" w:hAnsi="Helvetica"/>
            <w:noProof/>
            <w:webHidden/>
            <w:sz w:val="18"/>
            <w:szCs w:val="18"/>
          </w:rPr>
          <w:fldChar w:fldCharType="begin"/>
        </w:r>
        <w:r w:rsidRPr="00E82CFC">
          <w:rPr>
            <w:rFonts w:ascii="Helvetica" w:hAnsi="Helvetica"/>
            <w:noProof/>
            <w:webHidden/>
            <w:sz w:val="18"/>
            <w:szCs w:val="18"/>
          </w:rPr>
          <w:instrText xml:space="preserve"> PAGEREF _Toc207704003 \h </w:instrText>
        </w:r>
        <w:r w:rsidRPr="00E82CFC">
          <w:rPr>
            <w:rFonts w:ascii="Helvetica" w:hAnsi="Helvetica"/>
            <w:noProof/>
            <w:webHidden/>
            <w:sz w:val="18"/>
            <w:szCs w:val="18"/>
          </w:rPr>
        </w:r>
        <w:r w:rsidRPr="00E82CFC">
          <w:rPr>
            <w:rFonts w:ascii="Helvetica" w:hAnsi="Helvetica"/>
            <w:noProof/>
            <w:webHidden/>
            <w:sz w:val="18"/>
            <w:szCs w:val="18"/>
          </w:rPr>
          <w:fldChar w:fldCharType="separate"/>
        </w:r>
        <w:r w:rsidR="005B3E7D">
          <w:rPr>
            <w:rFonts w:ascii="Helvetica" w:hAnsi="Helvetica"/>
            <w:noProof/>
            <w:webHidden/>
            <w:sz w:val="18"/>
            <w:szCs w:val="18"/>
          </w:rPr>
          <w:t>6</w:t>
        </w:r>
        <w:r w:rsidRPr="00E82CFC">
          <w:rPr>
            <w:rFonts w:ascii="Helvetica" w:hAnsi="Helvetica"/>
            <w:noProof/>
            <w:webHidden/>
            <w:sz w:val="18"/>
            <w:szCs w:val="18"/>
          </w:rPr>
          <w:fldChar w:fldCharType="end"/>
        </w:r>
      </w:hyperlink>
    </w:p>
    <w:p w14:paraId="2ED39388" w14:textId="36C3FF48" w:rsidR="0011442A" w:rsidRPr="00E82CFC" w:rsidRDefault="0011442A">
      <w:pPr>
        <w:pStyle w:val="TOC2"/>
        <w:rPr>
          <w:rFonts w:ascii="Helvetica" w:eastAsiaTheme="minorEastAsia" w:hAnsi="Helvetica" w:cstheme="minorBidi"/>
          <w:b w:val="0"/>
          <w:bCs w:val="0"/>
          <w:noProof/>
          <w:kern w:val="2"/>
          <w:sz w:val="18"/>
          <w:szCs w:val="18"/>
          <w14:ligatures w14:val="standardContextual"/>
        </w:rPr>
      </w:pPr>
      <w:hyperlink w:anchor="_Toc207704004" w:history="1">
        <w:r w:rsidRPr="00E82CFC">
          <w:rPr>
            <w:rStyle w:val="Hyperlink"/>
            <w:rFonts w:ascii="Helvetica" w:hAnsi="Helvetica"/>
            <w:noProof/>
            <w:sz w:val="18"/>
            <w:szCs w:val="18"/>
          </w:rPr>
          <w:t>Provider-Based Care Management</w:t>
        </w:r>
        <w:r w:rsidRPr="00E82CFC">
          <w:rPr>
            <w:rFonts w:ascii="Helvetica" w:hAnsi="Helvetica"/>
            <w:noProof/>
            <w:webHidden/>
            <w:sz w:val="18"/>
            <w:szCs w:val="18"/>
          </w:rPr>
          <w:tab/>
        </w:r>
        <w:r w:rsidRPr="00E82CFC">
          <w:rPr>
            <w:rFonts w:ascii="Helvetica" w:hAnsi="Helvetica"/>
            <w:noProof/>
            <w:webHidden/>
            <w:sz w:val="18"/>
            <w:szCs w:val="18"/>
          </w:rPr>
          <w:fldChar w:fldCharType="begin"/>
        </w:r>
        <w:r w:rsidRPr="00E82CFC">
          <w:rPr>
            <w:rFonts w:ascii="Helvetica" w:hAnsi="Helvetica"/>
            <w:noProof/>
            <w:webHidden/>
            <w:sz w:val="18"/>
            <w:szCs w:val="18"/>
          </w:rPr>
          <w:instrText xml:space="preserve"> PAGEREF _Toc207704004 \h </w:instrText>
        </w:r>
        <w:r w:rsidRPr="00E82CFC">
          <w:rPr>
            <w:rFonts w:ascii="Helvetica" w:hAnsi="Helvetica"/>
            <w:noProof/>
            <w:webHidden/>
            <w:sz w:val="18"/>
            <w:szCs w:val="18"/>
          </w:rPr>
        </w:r>
        <w:r w:rsidRPr="00E82CFC">
          <w:rPr>
            <w:rFonts w:ascii="Helvetica" w:hAnsi="Helvetica"/>
            <w:noProof/>
            <w:webHidden/>
            <w:sz w:val="18"/>
            <w:szCs w:val="18"/>
          </w:rPr>
          <w:fldChar w:fldCharType="separate"/>
        </w:r>
        <w:r w:rsidR="005B3E7D">
          <w:rPr>
            <w:rFonts w:ascii="Helvetica" w:hAnsi="Helvetica"/>
            <w:noProof/>
            <w:webHidden/>
            <w:sz w:val="18"/>
            <w:szCs w:val="18"/>
          </w:rPr>
          <w:t>7</w:t>
        </w:r>
        <w:r w:rsidRPr="00E82CFC">
          <w:rPr>
            <w:rFonts w:ascii="Helvetica" w:hAnsi="Helvetica"/>
            <w:noProof/>
            <w:webHidden/>
            <w:sz w:val="18"/>
            <w:szCs w:val="18"/>
          </w:rPr>
          <w:fldChar w:fldCharType="end"/>
        </w:r>
      </w:hyperlink>
    </w:p>
    <w:p w14:paraId="05CF8F98" w14:textId="68D0F9ED" w:rsidR="0011442A" w:rsidRPr="00E82CFC" w:rsidRDefault="0011442A">
      <w:pPr>
        <w:pStyle w:val="TOC3"/>
        <w:tabs>
          <w:tab w:val="right" w:leader="dot" w:pos="9350"/>
        </w:tabs>
        <w:rPr>
          <w:rFonts w:ascii="Helvetica" w:eastAsiaTheme="minorEastAsia" w:hAnsi="Helvetica" w:cstheme="minorBidi"/>
          <w:noProof/>
          <w:kern w:val="2"/>
          <w:szCs w:val="18"/>
          <w14:ligatures w14:val="standardContextual"/>
        </w:rPr>
      </w:pPr>
      <w:hyperlink w:anchor="_Toc207704005" w:history="1">
        <w:r w:rsidRPr="00E82CFC">
          <w:rPr>
            <w:rStyle w:val="Hyperlink"/>
            <w:rFonts w:ascii="Helvetica" w:hAnsi="Helvetica"/>
            <w:noProof/>
            <w:szCs w:val="18"/>
          </w:rPr>
          <w:t>NYS Patient-Centered Medical Home (PCMH)</w:t>
        </w:r>
      </w:hyperlink>
    </w:p>
    <w:p w14:paraId="06C45CC4" w14:textId="0A3310E8" w:rsidR="0011442A" w:rsidRPr="00E82CFC" w:rsidRDefault="0011442A">
      <w:pPr>
        <w:pStyle w:val="TOC3"/>
        <w:tabs>
          <w:tab w:val="right" w:leader="dot" w:pos="9350"/>
        </w:tabs>
        <w:rPr>
          <w:rFonts w:ascii="Helvetica" w:eastAsiaTheme="minorEastAsia" w:hAnsi="Helvetica" w:cstheme="minorBidi"/>
          <w:noProof/>
          <w:kern w:val="2"/>
          <w:szCs w:val="18"/>
          <w14:ligatures w14:val="standardContextual"/>
        </w:rPr>
      </w:pPr>
      <w:hyperlink w:anchor="_Toc207704006" w:history="1">
        <w:r w:rsidRPr="00E82CFC">
          <w:rPr>
            <w:rStyle w:val="Hyperlink"/>
            <w:rFonts w:ascii="Helvetica" w:hAnsi="Helvetica"/>
            <w:noProof/>
            <w:szCs w:val="18"/>
          </w:rPr>
          <w:t>Accountable Care Organizations (ACOs)</w:t>
        </w:r>
      </w:hyperlink>
    </w:p>
    <w:p w14:paraId="36277491" w14:textId="2D24A1B3" w:rsidR="0011442A" w:rsidRPr="00E82CFC" w:rsidRDefault="0011442A">
      <w:pPr>
        <w:pStyle w:val="TOC3"/>
        <w:tabs>
          <w:tab w:val="right" w:leader="dot" w:pos="9350"/>
        </w:tabs>
        <w:rPr>
          <w:rFonts w:ascii="Helvetica" w:eastAsiaTheme="minorEastAsia" w:hAnsi="Helvetica" w:cstheme="minorBidi"/>
          <w:noProof/>
          <w:kern w:val="2"/>
          <w:szCs w:val="18"/>
          <w14:ligatures w14:val="standardContextual"/>
        </w:rPr>
      </w:pPr>
      <w:hyperlink w:anchor="_Toc207704007" w:history="1">
        <w:r w:rsidRPr="00E82CFC">
          <w:rPr>
            <w:rStyle w:val="Hyperlink"/>
            <w:rFonts w:ascii="Helvetica" w:hAnsi="Helvetica"/>
            <w:noProof/>
            <w:szCs w:val="18"/>
          </w:rPr>
          <w:t>Independent Practice Associations (IPAs)</w:t>
        </w:r>
      </w:hyperlink>
    </w:p>
    <w:p w14:paraId="22AF9C58" w14:textId="41A409F4" w:rsidR="0011442A" w:rsidRPr="00E82CFC" w:rsidRDefault="0011442A" w:rsidP="00E82CFC">
      <w:pPr>
        <w:pStyle w:val="TOC1"/>
        <w:rPr>
          <w:rFonts w:eastAsiaTheme="minorEastAsia" w:cstheme="minorBidi"/>
          <w:kern w:val="2"/>
          <w14:ligatures w14:val="standardContextual"/>
        </w:rPr>
      </w:pPr>
      <w:hyperlink w:anchor="_Toc207704008" w:history="1">
        <w:r w:rsidRPr="00E82CFC">
          <w:rPr>
            <w:rStyle w:val="Hyperlink"/>
          </w:rPr>
          <w:t>Behavioral Health Transformation</w:t>
        </w:r>
        <w:r w:rsidRPr="00E82CFC">
          <w:rPr>
            <w:webHidden/>
          </w:rPr>
          <w:tab/>
        </w:r>
        <w:r w:rsidRPr="00E82CFC">
          <w:rPr>
            <w:webHidden/>
          </w:rPr>
          <w:fldChar w:fldCharType="begin"/>
        </w:r>
        <w:r w:rsidRPr="00E82CFC">
          <w:rPr>
            <w:webHidden/>
          </w:rPr>
          <w:instrText xml:space="preserve"> PAGEREF _Toc207704008 \h </w:instrText>
        </w:r>
        <w:r w:rsidRPr="00E82CFC">
          <w:rPr>
            <w:webHidden/>
          </w:rPr>
        </w:r>
        <w:r w:rsidRPr="00E82CFC">
          <w:rPr>
            <w:webHidden/>
          </w:rPr>
          <w:fldChar w:fldCharType="separate"/>
        </w:r>
        <w:r w:rsidR="005B3E7D">
          <w:rPr>
            <w:webHidden/>
          </w:rPr>
          <w:t>9</w:t>
        </w:r>
        <w:r w:rsidRPr="00E82CFC">
          <w:rPr>
            <w:webHidden/>
          </w:rPr>
          <w:fldChar w:fldCharType="end"/>
        </w:r>
      </w:hyperlink>
    </w:p>
    <w:p w14:paraId="460DA240" w14:textId="0E96C76C" w:rsidR="0011442A" w:rsidRPr="00E82CFC" w:rsidRDefault="0011442A">
      <w:pPr>
        <w:pStyle w:val="TOC2"/>
        <w:rPr>
          <w:rFonts w:ascii="Helvetica" w:eastAsiaTheme="minorEastAsia" w:hAnsi="Helvetica" w:cstheme="minorBidi"/>
          <w:b w:val="0"/>
          <w:bCs w:val="0"/>
          <w:noProof/>
          <w:kern w:val="2"/>
          <w:sz w:val="18"/>
          <w:szCs w:val="18"/>
          <w14:ligatures w14:val="standardContextual"/>
        </w:rPr>
      </w:pPr>
      <w:hyperlink w:anchor="_Toc207704009" w:history="1">
        <w:r w:rsidRPr="00E82CFC">
          <w:rPr>
            <w:rStyle w:val="Hyperlink"/>
            <w:rFonts w:ascii="Helvetica" w:hAnsi="Helvetica"/>
            <w:noProof/>
            <w:sz w:val="18"/>
            <w:szCs w:val="18"/>
          </w:rPr>
          <w:t>Health and Recovery Plans (HARPs)</w:t>
        </w:r>
        <w:r w:rsidRPr="00E82CFC">
          <w:rPr>
            <w:rFonts w:ascii="Helvetica" w:hAnsi="Helvetica"/>
            <w:noProof/>
            <w:webHidden/>
            <w:sz w:val="18"/>
            <w:szCs w:val="18"/>
          </w:rPr>
          <w:tab/>
        </w:r>
        <w:r w:rsidRPr="00E82CFC">
          <w:rPr>
            <w:rFonts w:ascii="Helvetica" w:hAnsi="Helvetica"/>
            <w:noProof/>
            <w:webHidden/>
            <w:sz w:val="18"/>
            <w:szCs w:val="18"/>
          </w:rPr>
          <w:fldChar w:fldCharType="begin"/>
        </w:r>
        <w:r w:rsidRPr="00E82CFC">
          <w:rPr>
            <w:rFonts w:ascii="Helvetica" w:hAnsi="Helvetica"/>
            <w:noProof/>
            <w:webHidden/>
            <w:sz w:val="18"/>
            <w:szCs w:val="18"/>
          </w:rPr>
          <w:instrText xml:space="preserve"> PAGEREF _Toc207704009 \h </w:instrText>
        </w:r>
        <w:r w:rsidRPr="00E82CFC">
          <w:rPr>
            <w:rFonts w:ascii="Helvetica" w:hAnsi="Helvetica"/>
            <w:noProof/>
            <w:webHidden/>
            <w:sz w:val="18"/>
            <w:szCs w:val="18"/>
          </w:rPr>
        </w:r>
        <w:r w:rsidRPr="00E82CFC">
          <w:rPr>
            <w:rFonts w:ascii="Helvetica" w:hAnsi="Helvetica"/>
            <w:noProof/>
            <w:webHidden/>
            <w:sz w:val="18"/>
            <w:szCs w:val="18"/>
          </w:rPr>
          <w:fldChar w:fldCharType="separate"/>
        </w:r>
        <w:r w:rsidR="005B3E7D">
          <w:rPr>
            <w:rFonts w:ascii="Helvetica" w:hAnsi="Helvetica"/>
            <w:noProof/>
            <w:webHidden/>
            <w:sz w:val="18"/>
            <w:szCs w:val="18"/>
          </w:rPr>
          <w:t>9</w:t>
        </w:r>
        <w:r w:rsidRPr="00E82CFC">
          <w:rPr>
            <w:rFonts w:ascii="Helvetica" w:hAnsi="Helvetica"/>
            <w:noProof/>
            <w:webHidden/>
            <w:sz w:val="18"/>
            <w:szCs w:val="18"/>
          </w:rPr>
          <w:fldChar w:fldCharType="end"/>
        </w:r>
      </w:hyperlink>
    </w:p>
    <w:p w14:paraId="141659A1" w14:textId="50B7B169" w:rsidR="0011442A" w:rsidRPr="00E82CFC" w:rsidRDefault="0011442A">
      <w:pPr>
        <w:pStyle w:val="TOC2"/>
        <w:rPr>
          <w:rFonts w:ascii="Helvetica" w:eastAsiaTheme="minorEastAsia" w:hAnsi="Helvetica" w:cstheme="minorBidi"/>
          <w:b w:val="0"/>
          <w:bCs w:val="0"/>
          <w:noProof/>
          <w:kern w:val="2"/>
          <w:sz w:val="18"/>
          <w:szCs w:val="18"/>
          <w14:ligatures w14:val="standardContextual"/>
        </w:rPr>
      </w:pPr>
      <w:hyperlink w:anchor="_Toc207704010" w:history="1">
        <w:r w:rsidRPr="00E82CFC">
          <w:rPr>
            <w:rStyle w:val="Hyperlink"/>
            <w:rFonts w:ascii="Helvetica" w:hAnsi="Helvetica"/>
            <w:noProof/>
            <w:sz w:val="18"/>
            <w:szCs w:val="18"/>
          </w:rPr>
          <w:t>Community-based Specialty BH Services</w:t>
        </w:r>
        <w:r w:rsidRPr="00E82CFC">
          <w:rPr>
            <w:rFonts w:ascii="Helvetica" w:hAnsi="Helvetica"/>
            <w:noProof/>
            <w:webHidden/>
            <w:sz w:val="18"/>
            <w:szCs w:val="18"/>
          </w:rPr>
          <w:tab/>
        </w:r>
        <w:r w:rsidRPr="00E82CFC">
          <w:rPr>
            <w:rFonts w:ascii="Helvetica" w:hAnsi="Helvetica"/>
            <w:noProof/>
            <w:webHidden/>
            <w:sz w:val="18"/>
            <w:szCs w:val="18"/>
          </w:rPr>
          <w:fldChar w:fldCharType="begin"/>
        </w:r>
        <w:r w:rsidRPr="00E82CFC">
          <w:rPr>
            <w:rFonts w:ascii="Helvetica" w:hAnsi="Helvetica"/>
            <w:noProof/>
            <w:webHidden/>
            <w:sz w:val="18"/>
            <w:szCs w:val="18"/>
          </w:rPr>
          <w:instrText xml:space="preserve"> PAGEREF _Toc207704010 \h </w:instrText>
        </w:r>
        <w:r w:rsidRPr="00E82CFC">
          <w:rPr>
            <w:rFonts w:ascii="Helvetica" w:hAnsi="Helvetica"/>
            <w:noProof/>
            <w:webHidden/>
            <w:sz w:val="18"/>
            <w:szCs w:val="18"/>
          </w:rPr>
        </w:r>
        <w:r w:rsidRPr="00E82CFC">
          <w:rPr>
            <w:rFonts w:ascii="Helvetica" w:hAnsi="Helvetica"/>
            <w:noProof/>
            <w:webHidden/>
            <w:sz w:val="18"/>
            <w:szCs w:val="18"/>
          </w:rPr>
          <w:fldChar w:fldCharType="separate"/>
        </w:r>
        <w:r w:rsidR="005B3E7D">
          <w:rPr>
            <w:rFonts w:ascii="Helvetica" w:hAnsi="Helvetica"/>
            <w:noProof/>
            <w:webHidden/>
            <w:sz w:val="18"/>
            <w:szCs w:val="18"/>
          </w:rPr>
          <w:t>10</w:t>
        </w:r>
        <w:r w:rsidRPr="00E82CFC">
          <w:rPr>
            <w:rFonts w:ascii="Helvetica" w:hAnsi="Helvetica"/>
            <w:noProof/>
            <w:webHidden/>
            <w:sz w:val="18"/>
            <w:szCs w:val="18"/>
          </w:rPr>
          <w:fldChar w:fldCharType="end"/>
        </w:r>
      </w:hyperlink>
    </w:p>
    <w:p w14:paraId="387929F0" w14:textId="3E439E9C" w:rsidR="0011442A" w:rsidRPr="00E82CFC" w:rsidRDefault="0011442A">
      <w:pPr>
        <w:pStyle w:val="TOC3"/>
        <w:tabs>
          <w:tab w:val="right" w:leader="dot" w:pos="9350"/>
        </w:tabs>
        <w:rPr>
          <w:rFonts w:ascii="Helvetica" w:eastAsiaTheme="minorEastAsia" w:hAnsi="Helvetica" w:cstheme="minorBidi"/>
          <w:noProof/>
          <w:kern w:val="2"/>
          <w:szCs w:val="18"/>
          <w14:ligatures w14:val="standardContextual"/>
        </w:rPr>
      </w:pPr>
      <w:hyperlink w:anchor="_Toc207704011" w:history="1">
        <w:r w:rsidRPr="00E82CFC">
          <w:rPr>
            <w:rStyle w:val="Hyperlink"/>
            <w:rFonts w:ascii="Helvetica" w:hAnsi="Helvetica"/>
            <w:noProof/>
            <w:szCs w:val="18"/>
          </w:rPr>
          <w:t>BH HCBS</w:t>
        </w:r>
      </w:hyperlink>
    </w:p>
    <w:p w14:paraId="1B4ABBB9" w14:textId="07524266" w:rsidR="0011442A" w:rsidRPr="00E82CFC" w:rsidRDefault="0011442A">
      <w:pPr>
        <w:pStyle w:val="TOC3"/>
        <w:tabs>
          <w:tab w:val="right" w:leader="dot" w:pos="9350"/>
        </w:tabs>
        <w:rPr>
          <w:rFonts w:ascii="Helvetica" w:eastAsiaTheme="minorEastAsia" w:hAnsi="Helvetica" w:cstheme="minorBidi"/>
          <w:noProof/>
          <w:kern w:val="2"/>
          <w:szCs w:val="18"/>
          <w14:ligatures w14:val="standardContextual"/>
        </w:rPr>
      </w:pPr>
      <w:hyperlink w:anchor="_Toc207704012" w:history="1">
        <w:r w:rsidRPr="00E82CFC">
          <w:rPr>
            <w:rStyle w:val="Hyperlink"/>
            <w:rFonts w:ascii="Helvetica" w:hAnsi="Helvetica"/>
            <w:noProof/>
            <w:szCs w:val="18"/>
          </w:rPr>
          <w:t>CORE Services</w:t>
        </w:r>
      </w:hyperlink>
    </w:p>
    <w:p w14:paraId="1D107263" w14:textId="25290E1A" w:rsidR="0011442A" w:rsidRPr="00E82CFC" w:rsidRDefault="0011442A">
      <w:pPr>
        <w:pStyle w:val="TOC2"/>
        <w:rPr>
          <w:rFonts w:ascii="Helvetica" w:eastAsiaTheme="minorEastAsia" w:hAnsi="Helvetica" w:cstheme="minorBidi"/>
          <w:b w:val="0"/>
          <w:bCs w:val="0"/>
          <w:noProof/>
          <w:kern w:val="2"/>
          <w:sz w:val="18"/>
          <w:szCs w:val="18"/>
          <w14:ligatures w14:val="standardContextual"/>
        </w:rPr>
      </w:pPr>
      <w:hyperlink w:anchor="_Toc207704013" w:history="1">
        <w:r w:rsidRPr="00E82CFC">
          <w:rPr>
            <w:rStyle w:val="Hyperlink"/>
            <w:rFonts w:ascii="Helvetica" w:hAnsi="Helvetica"/>
            <w:noProof/>
            <w:sz w:val="18"/>
            <w:szCs w:val="18"/>
          </w:rPr>
          <w:t>Certified Community Behavioral Health Clinics (CCBHCs)</w:t>
        </w:r>
        <w:r w:rsidRPr="00E82CFC">
          <w:rPr>
            <w:rFonts w:ascii="Helvetica" w:hAnsi="Helvetica"/>
            <w:noProof/>
            <w:webHidden/>
            <w:sz w:val="18"/>
            <w:szCs w:val="18"/>
          </w:rPr>
          <w:tab/>
        </w:r>
        <w:r w:rsidRPr="00E82CFC">
          <w:rPr>
            <w:rFonts w:ascii="Helvetica" w:hAnsi="Helvetica"/>
            <w:noProof/>
            <w:webHidden/>
            <w:sz w:val="18"/>
            <w:szCs w:val="18"/>
          </w:rPr>
          <w:fldChar w:fldCharType="begin"/>
        </w:r>
        <w:r w:rsidRPr="00E82CFC">
          <w:rPr>
            <w:rFonts w:ascii="Helvetica" w:hAnsi="Helvetica"/>
            <w:noProof/>
            <w:webHidden/>
            <w:sz w:val="18"/>
            <w:szCs w:val="18"/>
          </w:rPr>
          <w:instrText xml:space="preserve"> PAGEREF _Toc207704013 \h </w:instrText>
        </w:r>
        <w:r w:rsidRPr="00E82CFC">
          <w:rPr>
            <w:rFonts w:ascii="Helvetica" w:hAnsi="Helvetica"/>
            <w:noProof/>
            <w:webHidden/>
            <w:sz w:val="18"/>
            <w:szCs w:val="18"/>
          </w:rPr>
        </w:r>
        <w:r w:rsidRPr="00E82CFC">
          <w:rPr>
            <w:rFonts w:ascii="Helvetica" w:hAnsi="Helvetica"/>
            <w:noProof/>
            <w:webHidden/>
            <w:sz w:val="18"/>
            <w:szCs w:val="18"/>
          </w:rPr>
          <w:fldChar w:fldCharType="separate"/>
        </w:r>
        <w:r w:rsidR="005B3E7D">
          <w:rPr>
            <w:rFonts w:ascii="Helvetica" w:hAnsi="Helvetica"/>
            <w:noProof/>
            <w:webHidden/>
            <w:sz w:val="18"/>
            <w:szCs w:val="18"/>
          </w:rPr>
          <w:t>11</w:t>
        </w:r>
        <w:r w:rsidRPr="00E82CFC">
          <w:rPr>
            <w:rFonts w:ascii="Helvetica" w:hAnsi="Helvetica"/>
            <w:noProof/>
            <w:webHidden/>
            <w:sz w:val="18"/>
            <w:szCs w:val="18"/>
          </w:rPr>
          <w:fldChar w:fldCharType="end"/>
        </w:r>
      </w:hyperlink>
    </w:p>
    <w:p w14:paraId="1B011310" w14:textId="70154BEC" w:rsidR="0011442A" w:rsidRPr="00E82CFC" w:rsidRDefault="0011442A">
      <w:pPr>
        <w:pStyle w:val="TOC2"/>
        <w:rPr>
          <w:rFonts w:ascii="Helvetica" w:eastAsiaTheme="minorEastAsia" w:hAnsi="Helvetica" w:cstheme="minorBidi"/>
          <w:b w:val="0"/>
          <w:bCs w:val="0"/>
          <w:noProof/>
          <w:kern w:val="2"/>
          <w:sz w:val="18"/>
          <w:szCs w:val="18"/>
          <w14:ligatures w14:val="standardContextual"/>
        </w:rPr>
      </w:pPr>
      <w:hyperlink w:anchor="_Toc207704014" w:history="1">
        <w:r w:rsidRPr="00E82CFC">
          <w:rPr>
            <w:rStyle w:val="Hyperlink"/>
            <w:rFonts w:ascii="Helvetica" w:hAnsi="Helvetica"/>
            <w:noProof/>
            <w:sz w:val="18"/>
            <w:szCs w:val="18"/>
          </w:rPr>
          <w:t>Behavioral Health Care Collaboratives (BHCCs)</w:t>
        </w:r>
        <w:r w:rsidRPr="00E82CFC">
          <w:rPr>
            <w:rFonts w:ascii="Helvetica" w:hAnsi="Helvetica"/>
            <w:noProof/>
            <w:webHidden/>
            <w:sz w:val="18"/>
            <w:szCs w:val="18"/>
          </w:rPr>
          <w:tab/>
        </w:r>
        <w:r w:rsidRPr="00E82CFC">
          <w:rPr>
            <w:rFonts w:ascii="Helvetica" w:hAnsi="Helvetica"/>
            <w:noProof/>
            <w:webHidden/>
            <w:sz w:val="18"/>
            <w:szCs w:val="18"/>
          </w:rPr>
          <w:fldChar w:fldCharType="begin"/>
        </w:r>
        <w:r w:rsidRPr="00E82CFC">
          <w:rPr>
            <w:rFonts w:ascii="Helvetica" w:hAnsi="Helvetica"/>
            <w:noProof/>
            <w:webHidden/>
            <w:sz w:val="18"/>
            <w:szCs w:val="18"/>
          </w:rPr>
          <w:instrText xml:space="preserve"> PAGEREF _Toc207704014 \h </w:instrText>
        </w:r>
        <w:r w:rsidRPr="00E82CFC">
          <w:rPr>
            <w:rFonts w:ascii="Helvetica" w:hAnsi="Helvetica"/>
            <w:noProof/>
            <w:webHidden/>
            <w:sz w:val="18"/>
            <w:szCs w:val="18"/>
          </w:rPr>
        </w:r>
        <w:r w:rsidRPr="00E82CFC">
          <w:rPr>
            <w:rFonts w:ascii="Helvetica" w:hAnsi="Helvetica"/>
            <w:noProof/>
            <w:webHidden/>
            <w:sz w:val="18"/>
            <w:szCs w:val="18"/>
          </w:rPr>
          <w:fldChar w:fldCharType="separate"/>
        </w:r>
        <w:r w:rsidR="005B3E7D">
          <w:rPr>
            <w:rFonts w:ascii="Helvetica" w:hAnsi="Helvetica"/>
            <w:noProof/>
            <w:webHidden/>
            <w:sz w:val="18"/>
            <w:szCs w:val="18"/>
          </w:rPr>
          <w:t>12</w:t>
        </w:r>
        <w:r w:rsidRPr="00E82CFC">
          <w:rPr>
            <w:rFonts w:ascii="Helvetica" w:hAnsi="Helvetica"/>
            <w:noProof/>
            <w:webHidden/>
            <w:sz w:val="18"/>
            <w:szCs w:val="18"/>
          </w:rPr>
          <w:fldChar w:fldCharType="end"/>
        </w:r>
      </w:hyperlink>
    </w:p>
    <w:p w14:paraId="13451126" w14:textId="459B279B" w:rsidR="0011442A" w:rsidRPr="00E82CFC" w:rsidRDefault="0011442A" w:rsidP="00E82CFC">
      <w:pPr>
        <w:pStyle w:val="TOC1"/>
        <w:rPr>
          <w:rFonts w:eastAsiaTheme="minorEastAsia" w:cstheme="minorBidi"/>
          <w:kern w:val="2"/>
          <w14:ligatures w14:val="standardContextual"/>
        </w:rPr>
      </w:pPr>
      <w:hyperlink w:anchor="_Toc207704015" w:history="1">
        <w:r w:rsidRPr="00E82CFC">
          <w:rPr>
            <w:rStyle w:val="Hyperlink"/>
          </w:rPr>
          <w:t>Children’s Medicaid Service System</w:t>
        </w:r>
        <w:r w:rsidRPr="00E82CFC">
          <w:rPr>
            <w:webHidden/>
          </w:rPr>
          <w:tab/>
        </w:r>
        <w:r w:rsidRPr="00E82CFC">
          <w:rPr>
            <w:webHidden/>
          </w:rPr>
          <w:fldChar w:fldCharType="begin"/>
        </w:r>
        <w:r w:rsidRPr="00E82CFC">
          <w:rPr>
            <w:webHidden/>
          </w:rPr>
          <w:instrText xml:space="preserve"> PAGEREF _Toc207704015 \h </w:instrText>
        </w:r>
        <w:r w:rsidRPr="00E82CFC">
          <w:rPr>
            <w:webHidden/>
          </w:rPr>
        </w:r>
        <w:r w:rsidRPr="00E82CFC">
          <w:rPr>
            <w:webHidden/>
          </w:rPr>
          <w:fldChar w:fldCharType="separate"/>
        </w:r>
        <w:r w:rsidR="005B3E7D">
          <w:rPr>
            <w:webHidden/>
          </w:rPr>
          <w:t>13</w:t>
        </w:r>
        <w:r w:rsidRPr="00E82CFC">
          <w:rPr>
            <w:webHidden/>
          </w:rPr>
          <w:fldChar w:fldCharType="end"/>
        </w:r>
      </w:hyperlink>
    </w:p>
    <w:p w14:paraId="5BAFAB74" w14:textId="05878F04" w:rsidR="0011442A" w:rsidRPr="00E82CFC" w:rsidRDefault="0011442A">
      <w:pPr>
        <w:pStyle w:val="TOC2"/>
        <w:rPr>
          <w:rFonts w:ascii="Helvetica" w:eastAsiaTheme="minorEastAsia" w:hAnsi="Helvetica" w:cstheme="minorBidi"/>
          <w:b w:val="0"/>
          <w:bCs w:val="0"/>
          <w:noProof/>
          <w:kern w:val="2"/>
          <w:sz w:val="18"/>
          <w:szCs w:val="18"/>
          <w14:ligatures w14:val="standardContextual"/>
        </w:rPr>
      </w:pPr>
      <w:hyperlink w:anchor="_Toc207704016" w:history="1">
        <w:r w:rsidRPr="00E82CFC">
          <w:rPr>
            <w:rStyle w:val="Hyperlink"/>
            <w:rFonts w:ascii="Helvetica" w:hAnsi="Helvetica"/>
            <w:noProof/>
            <w:sz w:val="18"/>
            <w:szCs w:val="18"/>
          </w:rPr>
          <w:t>HCBS for Children</w:t>
        </w:r>
        <w:r w:rsidRPr="00E82CFC">
          <w:rPr>
            <w:rFonts w:ascii="Helvetica" w:hAnsi="Helvetica"/>
            <w:noProof/>
            <w:webHidden/>
            <w:sz w:val="18"/>
            <w:szCs w:val="18"/>
          </w:rPr>
          <w:tab/>
        </w:r>
        <w:r w:rsidRPr="00E82CFC">
          <w:rPr>
            <w:rFonts w:ascii="Helvetica" w:hAnsi="Helvetica"/>
            <w:noProof/>
            <w:webHidden/>
            <w:sz w:val="18"/>
            <w:szCs w:val="18"/>
          </w:rPr>
          <w:fldChar w:fldCharType="begin"/>
        </w:r>
        <w:r w:rsidRPr="00E82CFC">
          <w:rPr>
            <w:rFonts w:ascii="Helvetica" w:hAnsi="Helvetica"/>
            <w:noProof/>
            <w:webHidden/>
            <w:sz w:val="18"/>
            <w:szCs w:val="18"/>
          </w:rPr>
          <w:instrText xml:space="preserve"> PAGEREF _Toc207704016 \h </w:instrText>
        </w:r>
        <w:r w:rsidRPr="00E82CFC">
          <w:rPr>
            <w:rFonts w:ascii="Helvetica" w:hAnsi="Helvetica"/>
            <w:noProof/>
            <w:webHidden/>
            <w:sz w:val="18"/>
            <w:szCs w:val="18"/>
          </w:rPr>
        </w:r>
        <w:r w:rsidRPr="00E82CFC">
          <w:rPr>
            <w:rFonts w:ascii="Helvetica" w:hAnsi="Helvetica"/>
            <w:noProof/>
            <w:webHidden/>
            <w:sz w:val="18"/>
            <w:szCs w:val="18"/>
          </w:rPr>
          <w:fldChar w:fldCharType="separate"/>
        </w:r>
        <w:r w:rsidR="005B3E7D">
          <w:rPr>
            <w:rFonts w:ascii="Helvetica" w:hAnsi="Helvetica"/>
            <w:noProof/>
            <w:webHidden/>
            <w:sz w:val="18"/>
            <w:szCs w:val="18"/>
          </w:rPr>
          <w:t>13</w:t>
        </w:r>
        <w:r w:rsidRPr="00E82CFC">
          <w:rPr>
            <w:rFonts w:ascii="Helvetica" w:hAnsi="Helvetica"/>
            <w:noProof/>
            <w:webHidden/>
            <w:sz w:val="18"/>
            <w:szCs w:val="18"/>
          </w:rPr>
          <w:fldChar w:fldCharType="end"/>
        </w:r>
      </w:hyperlink>
    </w:p>
    <w:p w14:paraId="7D517A5F" w14:textId="6E4006C0" w:rsidR="0011442A" w:rsidRPr="00E82CFC" w:rsidRDefault="0011442A">
      <w:pPr>
        <w:pStyle w:val="TOC2"/>
        <w:rPr>
          <w:rFonts w:ascii="Helvetica" w:eastAsiaTheme="minorEastAsia" w:hAnsi="Helvetica" w:cstheme="minorBidi"/>
          <w:b w:val="0"/>
          <w:bCs w:val="0"/>
          <w:noProof/>
          <w:kern w:val="2"/>
          <w:sz w:val="18"/>
          <w:szCs w:val="18"/>
          <w14:ligatures w14:val="standardContextual"/>
        </w:rPr>
      </w:pPr>
      <w:hyperlink w:anchor="_Toc207704017" w:history="1">
        <w:r w:rsidRPr="00E82CFC">
          <w:rPr>
            <w:rStyle w:val="Hyperlink"/>
            <w:rFonts w:ascii="Helvetica" w:hAnsi="Helvetica"/>
            <w:noProof/>
            <w:sz w:val="18"/>
            <w:szCs w:val="18"/>
          </w:rPr>
          <w:t>Children and Family Treatment and Support Services (CFTSS)</w:t>
        </w:r>
        <w:r w:rsidRPr="00E82CFC">
          <w:rPr>
            <w:rFonts w:ascii="Helvetica" w:hAnsi="Helvetica"/>
            <w:noProof/>
            <w:webHidden/>
            <w:sz w:val="18"/>
            <w:szCs w:val="18"/>
          </w:rPr>
          <w:tab/>
        </w:r>
        <w:r w:rsidRPr="00E82CFC">
          <w:rPr>
            <w:rFonts w:ascii="Helvetica" w:hAnsi="Helvetica"/>
            <w:noProof/>
            <w:webHidden/>
            <w:sz w:val="18"/>
            <w:szCs w:val="18"/>
          </w:rPr>
          <w:fldChar w:fldCharType="begin"/>
        </w:r>
        <w:r w:rsidRPr="00E82CFC">
          <w:rPr>
            <w:rFonts w:ascii="Helvetica" w:hAnsi="Helvetica"/>
            <w:noProof/>
            <w:webHidden/>
            <w:sz w:val="18"/>
            <w:szCs w:val="18"/>
          </w:rPr>
          <w:instrText xml:space="preserve"> PAGEREF _Toc207704017 \h </w:instrText>
        </w:r>
        <w:r w:rsidRPr="00E82CFC">
          <w:rPr>
            <w:rFonts w:ascii="Helvetica" w:hAnsi="Helvetica"/>
            <w:noProof/>
            <w:webHidden/>
            <w:sz w:val="18"/>
            <w:szCs w:val="18"/>
          </w:rPr>
        </w:r>
        <w:r w:rsidRPr="00E82CFC">
          <w:rPr>
            <w:rFonts w:ascii="Helvetica" w:hAnsi="Helvetica"/>
            <w:noProof/>
            <w:webHidden/>
            <w:sz w:val="18"/>
            <w:szCs w:val="18"/>
          </w:rPr>
          <w:fldChar w:fldCharType="separate"/>
        </w:r>
        <w:r w:rsidR="005B3E7D">
          <w:rPr>
            <w:rFonts w:ascii="Helvetica" w:hAnsi="Helvetica"/>
            <w:noProof/>
            <w:webHidden/>
            <w:sz w:val="18"/>
            <w:szCs w:val="18"/>
          </w:rPr>
          <w:t>14</w:t>
        </w:r>
        <w:r w:rsidRPr="00E82CFC">
          <w:rPr>
            <w:rFonts w:ascii="Helvetica" w:hAnsi="Helvetica"/>
            <w:noProof/>
            <w:webHidden/>
            <w:sz w:val="18"/>
            <w:szCs w:val="18"/>
          </w:rPr>
          <w:fldChar w:fldCharType="end"/>
        </w:r>
      </w:hyperlink>
    </w:p>
    <w:p w14:paraId="39D08AAB" w14:textId="012C7606" w:rsidR="0011442A" w:rsidRPr="00E82CFC" w:rsidRDefault="0011442A">
      <w:pPr>
        <w:pStyle w:val="TOC2"/>
        <w:rPr>
          <w:rFonts w:ascii="Helvetica" w:eastAsiaTheme="minorEastAsia" w:hAnsi="Helvetica" w:cstheme="minorBidi"/>
          <w:b w:val="0"/>
          <w:bCs w:val="0"/>
          <w:noProof/>
          <w:kern w:val="2"/>
          <w:sz w:val="18"/>
          <w:szCs w:val="18"/>
          <w14:ligatures w14:val="standardContextual"/>
        </w:rPr>
      </w:pPr>
      <w:hyperlink w:anchor="_Toc207704018" w:history="1">
        <w:r w:rsidRPr="00E82CFC">
          <w:rPr>
            <w:rStyle w:val="Hyperlink"/>
            <w:rFonts w:ascii="Helvetica" w:hAnsi="Helvetica"/>
            <w:noProof/>
            <w:sz w:val="18"/>
            <w:szCs w:val="18"/>
          </w:rPr>
          <w:t>Article 29-I Foster Care Services</w:t>
        </w:r>
        <w:r w:rsidRPr="00E82CFC">
          <w:rPr>
            <w:rFonts w:ascii="Helvetica" w:hAnsi="Helvetica"/>
            <w:noProof/>
            <w:webHidden/>
            <w:sz w:val="18"/>
            <w:szCs w:val="18"/>
          </w:rPr>
          <w:tab/>
        </w:r>
        <w:r w:rsidRPr="00E82CFC">
          <w:rPr>
            <w:rFonts w:ascii="Helvetica" w:hAnsi="Helvetica"/>
            <w:noProof/>
            <w:webHidden/>
            <w:sz w:val="18"/>
            <w:szCs w:val="18"/>
          </w:rPr>
          <w:fldChar w:fldCharType="begin"/>
        </w:r>
        <w:r w:rsidRPr="00E82CFC">
          <w:rPr>
            <w:rFonts w:ascii="Helvetica" w:hAnsi="Helvetica"/>
            <w:noProof/>
            <w:webHidden/>
            <w:sz w:val="18"/>
            <w:szCs w:val="18"/>
          </w:rPr>
          <w:instrText xml:space="preserve"> PAGEREF _Toc207704018 \h </w:instrText>
        </w:r>
        <w:r w:rsidRPr="00E82CFC">
          <w:rPr>
            <w:rFonts w:ascii="Helvetica" w:hAnsi="Helvetica"/>
            <w:noProof/>
            <w:webHidden/>
            <w:sz w:val="18"/>
            <w:szCs w:val="18"/>
          </w:rPr>
        </w:r>
        <w:r w:rsidRPr="00E82CFC">
          <w:rPr>
            <w:rFonts w:ascii="Helvetica" w:hAnsi="Helvetica"/>
            <w:noProof/>
            <w:webHidden/>
            <w:sz w:val="18"/>
            <w:szCs w:val="18"/>
          </w:rPr>
          <w:fldChar w:fldCharType="separate"/>
        </w:r>
        <w:r w:rsidR="005B3E7D">
          <w:rPr>
            <w:rFonts w:ascii="Helvetica" w:hAnsi="Helvetica"/>
            <w:noProof/>
            <w:webHidden/>
            <w:sz w:val="18"/>
            <w:szCs w:val="18"/>
          </w:rPr>
          <w:t>14</w:t>
        </w:r>
        <w:r w:rsidRPr="00E82CFC">
          <w:rPr>
            <w:rFonts w:ascii="Helvetica" w:hAnsi="Helvetica"/>
            <w:noProof/>
            <w:webHidden/>
            <w:sz w:val="18"/>
            <w:szCs w:val="18"/>
          </w:rPr>
          <w:fldChar w:fldCharType="end"/>
        </w:r>
      </w:hyperlink>
    </w:p>
    <w:p w14:paraId="10649B37" w14:textId="52D94938" w:rsidR="0011442A" w:rsidRPr="00E82CFC" w:rsidRDefault="0011442A" w:rsidP="00E82CFC">
      <w:pPr>
        <w:pStyle w:val="TOC1"/>
        <w:rPr>
          <w:rFonts w:eastAsiaTheme="minorEastAsia" w:cstheme="minorBidi"/>
          <w:kern w:val="2"/>
          <w14:ligatures w14:val="standardContextual"/>
        </w:rPr>
      </w:pPr>
      <w:hyperlink w:anchor="_Toc207704019" w:history="1">
        <w:r w:rsidRPr="00E82CFC">
          <w:rPr>
            <w:rStyle w:val="Hyperlink"/>
          </w:rPr>
          <w:t>Long Term Care</w:t>
        </w:r>
        <w:r w:rsidRPr="00E82CFC">
          <w:rPr>
            <w:webHidden/>
          </w:rPr>
          <w:tab/>
        </w:r>
        <w:r w:rsidRPr="00E82CFC">
          <w:rPr>
            <w:webHidden/>
          </w:rPr>
          <w:fldChar w:fldCharType="begin"/>
        </w:r>
        <w:r w:rsidRPr="00E82CFC">
          <w:rPr>
            <w:webHidden/>
          </w:rPr>
          <w:instrText xml:space="preserve"> PAGEREF _Toc207704019 \h </w:instrText>
        </w:r>
        <w:r w:rsidRPr="00E82CFC">
          <w:rPr>
            <w:webHidden/>
          </w:rPr>
        </w:r>
        <w:r w:rsidRPr="00E82CFC">
          <w:rPr>
            <w:webHidden/>
          </w:rPr>
          <w:fldChar w:fldCharType="separate"/>
        </w:r>
        <w:r w:rsidR="005B3E7D">
          <w:rPr>
            <w:webHidden/>
          </w:rPr>
          <w:t>15</w:t>
        </w:r>
        <w:r w:rsidRPr="00E82CFC">
          <w:rPr>
            <w:webHidden/>
          </w:rPr>
          <w:fldChar w:fldCharType="end"/>
        </w:r>
      </w:hyperlink>
    </w:p>
    <w:p w14:paraId="7EA33F54" w14:textId="540166A7" w:rsidR="0011442A" w:rsidRPr="00E82CFC" w:rsidRDefault="0011442A">
      <w:pPr>
        <w:pStyle w:val="TOC2"/>
        <w:rPr>
          <w:rFonts w:ascii="Helvetica" w:eastAsiaTheme="minorEastAsia" w:hAnsi="Helvetica" w:cstheme="minorBidi"/>
          <w:b w:val="0"/>
          <w:bCs w:val="0"/>
          <w:noProof/>
          <w:kern w:val="2"/>
          <w:sz w:val="18"/>
          <w:szCs w:val="18"/>
          <w14:ligatures w14:val="standardContextual"/>
        </w:rPr>
      </w:pPr>
      <w:hyperlink w:anchor="_Toc207704020" w:history="1">
        <w:r w:rsidRPr="00E82CFC">
          <w:rPr>
            <w:rStyle w:val="Hyperlink"/>
            <w:rFonts w:ascii="Helvetica" w:hAnsi="Helvetica"/>
            <w:noProof/>
            <w:sz w:val="18"/>
            <w:szCs w:val="18"/>
          </w:rPr>
          <w:t>Managed Long Term Care Plans (MLTCPs)</w:t>
        </w:r>
        <w:r w:rsidRPr="00E82CFC">
          <w:rPr>
            <w:rFonts w:ascii="Helvetica" w:hAnsi="Helvetica"/>
            <w:noProof/>
            <w:webHidden/>
            <w:sz w:val="18"/>
            <w:szCs w:val="18"/>
          </w:rPr>
          <w:tab/>
        </w:r>
        <w:r w:rsidRPr="00E82CFC">
          <w:rPr>
            <w:rFonts w:ascii="Helvetica" w:hAnsi="Helvetica"/>
            <w:noProof/>
            <w:webHidden/>
            <w:sz w:val="18"/>
            <w:szCs w:val="18"/>
          </w:rPr>
          <w:fldChar w:fldCharType="begin"/>
        </w:r>
        <w:r w:rsidRPr="00E82CFC">
          <w:rPr>
            <w:rFonts w:ascii="Helvetica" w:hAnsi="Helvetica"/>
            <w:noProof/>
            <w:webHidden/>
            <w:sz w:val="18"/>
            <w:szCs w:val="18"/>
          </w:rPr>
          <w:instrText xml:space="preserve"> PAGEREF _Toc207704020 \h </w:instrText>
        </w:r>
        <w:r w:rsidRPr="00E82CFC">
          <w:rPr>
            <w:rFonts w:ascii="Helvetica" w:hAnsi="Helvetica"/>
            <w:noProof/>
            <w:webHidden/>
            <w:sz w:val="18"/>
            <w:szCs w:val="18"/>
          </w:rPr>
        </w:r>
        <w:r w:rsidRPr="00E82CFC">
          <w:rPr>
            <w:rFonts w:ascii="Helvetica" w:hAnsi="Helvetica"/>
            <w:noProof/>
            <w:webHidden/>
            <w:sz w:val="18"/>
            <w:szCs w:val="18"/>
          </w:rPr>
          <w:fldChar w:fldCharType="separate"/>
        </w:r>
        <w:r w:rsidR="005B3E7D">
          <w:rPr>
            <w:rFonts w:ascii="Helvetica" w:hAnsi="Helvetica"/>
            <w:noProof/>
            <w:webHidden/>
            <w:sz w:val="18"/>
            <w:szCs w:val="18"/>
          </w:rPr>
          <w:t>16</w:t>
        </w:r>
        <w:r w:rsidRPr="00E82CFC">
          <w:rPr>
            <w:rFonts w:ascii="Helvetica" w:hAnsi="Helvetica"/>
            <w:noProof/>
            <w:webHidden/>
            <w:sz w:val="18"/>
            <w:szCs w:val="18"/>
          </w:rPr>
          <w:fldChar w:fldCharType="end"/>
        </w:r>
      </w:hyperlink>
    </w:p>
    <w:p w14:paraId="57C17C1D" w14:textId="33D51FDD" w:rsidR="0011442A" w:rsidRPr="00E82CFC" w:rsidRDefault="0011442A">
      <w:pPr>
        <w:pStyle w:val="TOC2"/>
        <w:rPr>
          <w:rFonts w:ascii="Helvetica" w:eastAsiaTheme="minorEastAsia" w:hAnsi="Helvetica" w:cstheme="minorBidi"/>
          <w:b w:val="0"/>
          <w:bCs w:val="0"/>
          <w:noProof/>
          <w:kern w:val="2"/>
          <w:sz w:val="18"/>
          <w:szCs w:val="18"/>
          <w14:ligatures w14:val="standardContextual"/>
        </w:rPr>
      </w:pPr>
      <w:hyperlink w:anchor="_Toc207704021" w:history="1">
        <w:r w:rsidRPr="00E82CFC">
          <w:rPr>
            <w:rStyle w:val="Hyperlink"/>
            <w:rFonts w:ascii="Helvetica" w:hAnsi="Helvetica"/>
            <w:noProof/>
            <w:sz w:val="18"/>
            <w:szCs w:val="18"/>
          </w:rPr>
          <w:t>Medicaid Advantage Plus (MAP)</w:t>
        </w:r>
        <w:r w:rsidRPr="00E82CFC">
          <w:rPr>
            <w:rFonts w:ascii="Helvetica" w:hAnsi="Helvetica"/>
            <w:noProof/>
            <w:webHidden/>
            <w:sz w:val="18"/>
            <w:szCs w:val="18"/>
          </w:rPr>
          <w:tab/>
        </w:r>
        <w:r w:rsidRPr="00E82CFC">
          <w:rPr>
            <w:rFonts w:ascii="Helvetica" w:hAnsi="Helvetica"/>
            <w:noProof/>
            <w:webHidden/>
            <w:sz w:val="18"/>
            <w:szCs w:val="18"/>
          </w:rPr>
          <w:fldChar w:fldCharType="begin"/>
        </w:r>
        <w:r w:rsidRPr="00E82CFC">
          <w:rPr>
            <w:rFonts w:ascii="Helvetica" w:hAnsi="Helvetica"/>
            <w:noProof/>
            <w:webHidden/>
            <w:sz w:val="18"/>
            <w:szCs w:val="18"/>
          </w:rPr>
          <w:instrText xml:space="preserve"> PAGEREF _Toc207704021 \h </w:instrText>
        </w:r>
        <w:r w:rsidRPr="00E82CFC">
          <w:rPr>
            <w:rFonts w:ascii="Helvetica" w:hAnsi="Helvetica"/>
            <w:noProof/>
            <w:webHidden/>
            <w:sz w:val="18"/>
            <w:szCs w:val="18"/>
          </w:rPr>
        </w:r>
        <w:r w:rsidRPr="00E82CFC">
          <w:rPr>
            <w:rFonts w:ascii="Helvetica" w:hAnsi="Helvetica"/>
            <w:noProof/>
            <w:webHidden/>
            <w:sz w:val="18"/>
            <w:szCs w:val="18"/>
          </w:rPr>
          <w:fldChar w:fldCharType="separate"/>
        </w:r>
        <w:r w:rsidR="005B3E7D">
          <w:rPr>
            <w:rFonts w:ascii="Helvetica" w:hAnsi="Helvetica"/>
            <w:noProof/>
            <w:webHidden/>
            <w:sz w:val="18"/>
            <w:szCs w:val="18"/>
          </w:rPr>
          <w:t>16</w:t>
        </w:r>
        <w:r w:rsidRPr="00E82CFC">
          <w:rPr>
            <w:rFonts w:ascii="Helvetica" w:hAnsi="Helvetica"/>
            <w:noProof/>
            <w:webHidden/>
            <w:sz w:val="18"/>
            <w:szCs w:val="18"/>
          </w:rPr>
          <w:fldChar w:fldCharType="end"/>
        </w:r>
      </w:hyperlink>
    </w:p>
    <w:p w14:paraId="34C35574" w14:textId="7E254FD5" w:rsidR="0011442A" w:rsidRPr="00E82CFC" w:rsidRDefault="0011442A">
      <w:pPr>
        <w:pStyle w:val="TOC2"/>
        <w:rPr>
          <w:rFonts w:ascii="Helvetica" w:eastAsiaTheme="minorEastAsia" w:hAnsi="Helvetica" w:cstheme="minorBidi"/>
          <w:b w:val="0"/>
          <w:bCs w:val="0"/>
          <w:noProof/>
          <w:kern w:val="2"/>
          <w:sz w:val="18"/>
          <w:szCs w:val="18"/>
          <w14:ligatures w14:val="standardContextual"/>
        </w:rPr>
      </w:pPr>
      <w:hyperlink w:anchor="_Toc207704022" w:history="1">
        <w:r w:rsidRPr="00E82CFC">
          <w:rPr>
            <w:rStyle w:val="Hyperlink"/>
            <w:rFonts w:ascii="Helvetica" w:hAnsi="Helvetica"/>
            <w:noProof/>
            <w:sz w:val="18"/>
            <w:szCs w:val="18"/>
          </w:rPr>
          <w:t>Program of All-Inclusive Care for the Elderly (PACE)</w:t>
        </w:r>
        <w:r w:rsidRPr="00E82CFC">
          <w:rPr>
            <w:rFonts w:ascii="Helvetica" w:hAnsi="Helvetica"/>
            <w:noProof/>
            <w:webHidden/>
            <w:sz w:val="18"/>
            <w:szCs w:val="18"/>
          </w:rPr>
          <w:tab/>
        </w:r>
        <w:r w:rsidRPr="00E82CFC">
          <w:rPr>
            <w:rFonts w:ascii="Helvetica" w:hAnsi="Helvetica"/>
            <w:noProof/>
            <w:webHidden/>
            <w:sz w:val="18"/>
            <w:szCs w:val="18"/>
          </w:rPr>
          <w:fldChar w:fldCharType="begin"/>
        </w:r>
        <w:r w:rsidRPr="00E82CFC">
          <w:rPr>
            <w:rFonts w:ascii="Helvetica" w:hAnsi="Helvetica"/>
            <w:noProof/>
            <w:webHidden/>
            <w:sz w:val="18"/>
            <w:szCs w:val="18"/>
          </w:rPr>
          <w:instrText xml:space="preserve"> PAGEREF _Toc207704022 \h </w:instrText>
        </w:r>
        <w:r w:rsidRPr="00E82CFC">
          <w:rPr>
            <w:rFonts w:ascii="Helvetica" w:hAnsi="Helvetica"/>
            <w:noProof/>
            <w:webHidden/>
            <w:sz w:val="18"/>
            <w:szCs w:val="18"/>
          </w:rPr>
        </w:r>
        <w:r w:rsidRPr="00E82CFC">
          <w:rPr>
            <w:rFonts w:ascii="Helvetica" w:hAnsi="Helvetica"/>
            <w:noProof/>
            <w:webHidden/>
            <w:sz w:val="18"/>
            <w:szCs w:val="18"/>
          </w:rPr>
          <w:fldChar w:fldCharType="separate"/>
        </w:r>
        <w:r w:rsidR="005B3E7D">
          <w:rPr>
            <w:rFonts w:ascii="Helvetica" w:hAnsi="Helvetica"/>
            <w:noProof/>
            <w:webHidden/>
            <w:sz w:val="18"/>
            <w:szCs w:val="18"/>
          </w:rPr>
          <w:t>17</w:t>
        </w:r>
        <w:r w:rsidRPr="00E82CFC">
          <w:rPr>
            <w:rFonts w:ascii="Helvetica" w:hAnsi="Helvetica"/>
            <w:noProof/>
            <w:webHidden/>
            <w:sz w:val="18"/>
            <w:szCs w:val="18"/>
          </w:rPr>
          <w:fldChar w:fldCharType="end"/>
        </w:r>
      </w:hyperlink>
    </w:p>
    <w:p w14:paraId="44B212B7" w14:textId="073AC5A8" w:rsidR="0011442A" w:rsidRPr="00E82CFC" w:rsidRDefault="0011442A">
      <w:pPr>
        <w:pStyle w:val="TOC2"/>
        <w:rPr>
          <w:rFonts w:ascii="Helvetica" w:eastAsiaTheme="minorEastAsia" w:hAnsi="Helvetica" w:cstheme="minorBidi"/>
          <w:b w:val="0"/>
          <w:bCs w:val="0"/>
          <w:noProof/>
          <w:kern w:val="2"/>
          <w:sz w:val="18"/>
          <w:szCs w:val="18"/>
          <w14:ligatures w14:val="standardContextual"/>
        </w:rPr>
      </w:pPr>
      <w:hyperlink w:anchor="_Toc207704023" w:history="1">
        <w:r w:rsidRPr="00E82CFC">
          <w:rPr>
            <w:rStyle w:val="Hyperlink"/>
            <w:rFonts w:ascii="Helvetica" w:hAnsi="Helvetica"/>
            <w:noProof/>
            <w:sz w:val="18"/>
            <w:szCs w:val="18"/>
          </w:rPr>
          <w:t>LTSS Providers</w:t>
        </w:r>
        <w:r w:rsidRPr="00E82CFC">
          <w:rPr>
            <w:rFonts w:ascii="Helvetica" w:hAnsi="Helvetica"/>
            <w:noProof/>
            <w:webHidden/>
            <w:sz w:val="18"/>
            <w:szCs w:val="18"/>
          </w:rPr>
          <w:tab/>
        </w:r>
        <w:r w:rsidRPr="00E82CFC">
          <w:rPr>
            <w:rFonts w:ascii="Helvetica" w:hAnsi="Helvetica"/>
            <w:noProof/>
            <w:webHidden/>
            <w:sz w:val="18"/>
            <w:szCs w:val="18"/>
          </w:rPr>
          <w:fldChar w:fldCharType="begin"/>
        </w:r>
        <w:r w:rsidRPr="00E82CFC">
          <w:rPr>
            <w:rFonts w:ascii="Helvetica" w:hAnsi="Helvetica"/>
            <w:noProof/>
            <w:webHidden/>
            <w:sz w:val="18"/>
            <w:szCs w:val="18"/>
          </w:rPr>
          <w:instrText xml:space="preserve"> PAGEREF _Toc207704023 \h </w:instrText>
        </w:r>
        <w:r w:rsidRPr="00E82CFC">
          <w:rPr>
            <w:rFonts w:ascii="Helvetica" w:hAnsi="Helvetica"/>
            <w:noProof/>
            <w:webHidden/>
            <w:sz w:val="18"/>
            <w:szCs w:val="18"/>
          </w:rPr>
        </w:r>
        <w:r w:rsidRPr="00E82CFC">
          <w:rPr>
            <w:rFonts w:ascii="Helvetica" w:hAnsi="Helvetica"/>
            <w:noProof/>
            <w:webHidden/>
            <w:sz w:val="18"/>
            <w:szCs w:val="18"/>
          </w:rPr>
          <w:fldChar w:fldCharType="separate"/>
        </w:r>
        <w:r w:rsidR="005B3E7D">
          <w:rPr>
            <w:rFonts w:ascii="Helvetica" w:hAnsi="Helvetica"/>
            <w:noProof/>
            <w:webHidden/>
            <w:sz w:val="18"/>
            <w:szCs w:val="18"/>
          </w:rPr>
          <w:t>18</w:t>
        </w:r>
        <w:r w:rsidRPr="00E82CFC">
          <w:rPr>
            <w:rFonts w:ascii="Helvetica" w:hAnsi="Helvetica"/>
            <w:noProof/>
            <w:webHidden/>
            <w:sz w:val="18"/>
            <w:szCs w:val="18"/>
          </w:rPr>
          <w:fldChar w:fldCharType="end"/>
        </w:r>
      </w:hyperlink>
    </w:p>
    <w:p w14:paraId="7E84CC92" w14:textId="230E9605" w:rsidR="0011442A" w:rsidRPr="00E82CFC" w:rsidRDefault="0011442A">
      <w:pPr>
        <w:pStyle w:val="TOC3"/>
        <w:tabs>
          <w:tab w:val="right" w:leader="dot" w:pos="9350"/>
        </w:tabs>
        <w:rPr>
          <w:rFonts w:ascii="Helvetica" w:eastAsiaTheme="minorEastAsia" w:hAnsi="Helvetica" w:cstheme="minorBidi"/>
          <w:noProof/>
          <w:kern w:val="2"/>
          <w:szCs w:val="18"/>
          <w14:ligatures w14:val="standardContextual"/>
        </w:rPr>
      </w:pPr>
      <w:hyperlink w:anchor="_Toc207704024" w:history="1">
        <w:r w:rsidRPr="00E82CFC">
          <w:rPr>
            <w:rStyle w:val="Hyperlink"/>
            <w:rFonts w:ascii="Helvetica" w:hAnsi="Helvetica"/>
            <w:noProof/>
            <w:szCs w:val="18"/>
          </w:rPr>
          <w:t>Acute, Residential, Institutional, and Site-Based Providers</w:t>
        </w:r>
      </w:hyperlink>
    </w:p>
    <w:p w14:paraId="47A8F1ED" w14:textId="27A56939" w:rsidR="0011442A" w:rsidRPr="00E82CFC" w:rsidRDefault="0011442A">
      <w:pPr>
        <w:pStyle w:val="TOC3"/>
        <w:tabs>
          <w:tab w:val="right" w:leader="dot" w:pos="9350"/>
        </w:tabs>
        <w:rPr>
          <w:rFonts w:ascii="Helvetica" w:eastAsiaTheme="minorEastAsia" w:hAnsi="Helvetica" w:cstheme="minorBidi"/>
          <w:noProof/>
          <w:kern w:val="2"/>
          <w:szCs w:val="18"/>
          <w14:ligatures w14:val="standardContextual"/>
        </w:rPr>
      </w:pPr>
      <w:hyperlink w:anchor="_Toc207704025" w:history="1">
        <w:r w:rsidRPr="00E82CFC">
          <w:rPr>
            <w:rStyle w:val="Hyperlink"/>
            <w:rFonts w:ascii="Helvetica" w:hAnsi="Helvetica"/>
            <w:noProof/>
            <w:szCs w:val="18"/>
          </w:rPr>
          <w:t>Home and Community-Based Service Providers</w:t>
        </w:r>
      </w:hyperlink>
    </w:p>
    <w:p w14:paraId="3755F8B9" w14:textId="61905CFA" w:rsidR="0011442A" w:rsidRPr="00E82CFC" w:rsidRDefault="0011442A" w:rsidP="00E82CFC">
      <w:pPr>
        <w:pStyle w:val="TOC1"/>
        <w:rPr>
          <w:rFonts w:eastAsiaTheme="minorEastAsia" w:cstheme="minorBidi"/>
          <w:kern w:val="2"/>
          <w14:ligatures w14:val="standardContextual"/>
        </w:rPr>
      </w:pPr>
      <w:hyperlink w:anchor="_Toc207704026" w:history="1">
        <w:r w:rsidRPr="00E82CFC">
          <w:rPr>
            <w:rStyle w:val="Hyperlink"/>
          </w:rPr>
          <w:t>OPWDD System Transformation</w:t>
        </w:r>
        <w:r w:rsidRPr="00E82CFC">
          <w:rPr>
            <w:webHidden/>
          </w:rPr>
          <w:tab/>
        </w:r>
        <w:r w:rsidRPr="00E82CFC">
          <w:rPr>
            <w:webHidden/>
          </w:rPr>
          <w:fldChar w:fldCharType="begin"/>
        </w:r>
        <w:r w:rsidRPr="00E82CFC">
          <w:rPr>
            <w:webHidden/>
          </w:rPr>
          <w:instrText xml:space="preserve"> PAGEREF _Toc207704026 \h </w:instrText>
        </w:r>
        <w:r w:rsidRPr="00E82CFC">
          <w:rPr>
            <w:webHidden/>
          </w:rPr>
        </w:r>
        <w:r w:rsidRPr="00E82CFC">
          <w:rPr>
            <w:webHidden/>
          </w:rPr>
          <w:fldChar w:fldCharType="separate"/>
        </w:r>
        <w:r w:rsidR="005B3E7D">
          <w:rPr>
            <w:webHidden/>
          </w:rPr>
          <w:t>20</w:t>
        </w:r>
        <w:r w:rsidRPr="00E82CFC">
          <w:rPr>
            <w:webHidden/>
          </w:rPr>
          <w:fldChar w:fldCharType="end"/>
        </w:r>
      </w:hyperlink>
    </w:p>
    <w:p w14:paraId="7833B30F" w14:textId="40232878" w:rsidR="0011442A" w:rsidRPr="00E82CFC" w:rsidRDefault="0011442A">
      <w:pPr>
        <w:pStyle w:val="TOC2"/>
        <w:rPr>
          <w:rFonts w:ascii="Helvetica" w:eastAsiaTheme="minorEastAsia" w:hAnsi="Helvetica" w:cstheme="minorBidi"/>
          <w:b w:val="0"/>
          <w:bCs w:val="0"/>
          <w:noProof/>
          <w:kern w:val="2"/>
          <w:sz w:val="18"/>
          <w:szCs w:val="18"/>
          <w14:ligatures w14:val="standardContextual"/>
        </w:rPr>
      </w:pPr>
      <w:hyperlink w:anchor="_Toc207704027" w:history="1">
        <w:r w:rsidRPr="00E82CFC">
          <w:rPr>
            <w:rStyle w:val="Hyperlink"/>
            <w:rFonts w:ascii="Helvetica" w:hAnsi="Helvetica"/>
            <w:noProof/>
            <w:sz w:val="18"/>
            <w:szCs w:val="18"/>
          </w:rPr>
          <w:t>OPWDD Comprehensive HCBS 1915(c) Waiver</w:t>
        </w:r>
        <w:r w:rsidRPr="00E82CFC">
          <w:rPr>
            <w:rFonts w:ascii="Helvetica" w:hAnsi="Helvetica"/>
            <w:noProof/>
            <w:webHidden/>
            <w:sz w:val="18"/>
            <w:szCs w:val="18"/>
          </w:rPr>
          <w:tab/>
        </w:r>
        <w:r w:rsidRPr="00E82CFC">
          <w:rPr>
            <w:rFonts w:ascii="Helvetica" w:hAnsi="Helvetica"/>
            <w:noProof/>
            <w:webHidden/>
            <w:sz w:val="18"/>
            <w:szCs w:val="18"/>
          </w:rPr>
          <w:fldChar w:fldCharType="begin"/>
        </w:r>
        <w:r w:rsidRPr="00E82CFC">
          <w:rPr>
            <w:rFonts w:ascii="Helvetica" w:hAnsi="Helvetica"/>
            <w:noProof/>
            <w:webHidden/>
            <w:sz w:val="18"/>
            <w:szCs w:val="18"/>
          </w:rPr>
          <w:instrText xml:space="preserve"> PAGEREF _Toc207704027 \h </w:instrText>
        </w:r>
        <w:r w:rsidRPr="00E82CFC">
          <w:rPr>
            <w:rFonts w:ascii="Helvetica" w:hAnsi="Helvetica"/>
            <w:noProof/>
            <w:webHidden/>
            <w:sz w:val="18"/>
            <w:szCs w:val="18"/>
          </w:rPr>
        </w:r>
        <w:r w:rsidRPr="00E82CFC">
          <w:rPr>
            <w:rFonts w:ascii="Helvetica" w:hAnsi="Helvetica"/>
            <w:noProof/>
            <w:webHidden/>
            <w:sz w:val="18"/>
            <w:szCs w:val="18"/>
          </w:rPr>
          <w:fldChar w:fldCharType="separate"/>
        </w:r>
        <w:r w:rsidR="005B3E7D">
          <w:rPr>
            <w:rFonts w:ascii="Helvetica" w:hAnsi="Helvetica"/>
            <w:noProof/>
            <w:webHidden/>
            <w:sz w:val="18"/>
            <w:szCs w:val="18"/>
          </w:rPr>
          <w:t>21</w:t>
        </w:r>
        <w:r w:rsidRPr="00E82CFC">
          <w:rPr>
            <w:rFonts w:ascii="Helvetica" w:hAnsi="Helvetica"/>
            <w:noProof/>
            <w:webHidden/>
            <w:sz w:val="18"/>
            <w:szCs w:val="18"/>
          </w:rPr>
          <w:fldChar w:fldCharType="end"/>
        </w:r>
      </w:hyperlink>
    </w:p>
    <w:p w14:paraId="72694F31" w14:textId="62B5DBD1" w:rsidR="0011442A" w:rsidRPr="00E82CFC" w:rsidRDefault="0011442A">
      <w:pPr>
        <w:pStyle w:val="TOC2"/>
        <w:rPr>
          <w:rFonts w:ascii="Helvetica" w:eastAsiaTheme="minorEastAsia" w:hAnsi="Helvetica" w:cstheme="minorBidi"/>
          <w:b w:val="0"/>
          <w:bCs w:val="0"/>
          <w:noProof/>
          <w:kern w:val="2"/>
          <w:sz w:val="18"/>
          <w:szCs w:val="18"/>
          <w14:ligatures w14:val="standardContextual"/>
        </w:rPr>
      </w:pPr>
      <w:hyperlink w:anchor="_Toc207704028" w:history="1">
        <w:r w:rsidRPr="00E82CFC">
          <w:rPr>
            <w:rStyle w:val="Hyperlink"/>
            <w:rFonts w:ascii="Helvetica" w:hAnsi="Helvetica"/>
            <w:noProof/>
            <w:sz w:val="18"/>
            <w:szCs w:val="18"/>
          </w:rPr>
          <w:t>Health Homes/Care Coordination Organizations (HH/CCOs)</w:t>
        </w:r>
        <w:r w:rsidRPr="00E82CFC">
          <w:rPr>
            <w:rFonts w:ascii="Helvetica" w:hAnsi="Helvetica"/>
            <w:noProof/>
            <w:webHidden/>
            <w:sz w:val="18"/>
            <w:szCs w:val="18"/>
          </w:rPr>
          <w:tab/>
        </w:r>
        <w:r w:rsidRPr="00E82CFC">
          <w:rPr>
            <w:rFonts w:ascii="Helvetica" w:hAnsi="Helvetica"/>
            <w:noProof/>
            <w:webHidden/>
            <w:sz w:val="18"/>
            <w:szCs w:val="18"/>
          </w:rPr>
          <w:fldChar w:fldCharType="begin"/>
        </w:r>
        <w:r w:rsidRPr="00E82CFC">
          <w:rPr>
            <w:rFonts w:ascii="Helvetica" w:hAnsi="Helvetica"/>
            <w:noProof/>
            <w:webHidden/>
            <w:sz w:val="18"/>
            <w:szCs w:val="18"/>
          </w:rPr>
          <w:instrText xml:space="preserve"> PAGEREF _Toc207704028 \h </w:instrText>
        </w:r>
        <w:r w:rsidRPr="00E82CFC">
          <w:rPr>
            <w:rFonts w:ascii="Helvetica" w:hAnsi="Helvetica"/>
            <w:noProof/>
            <w:webHidden/>
            <w:sz w:val="18"/>
            <w:szCs w:val="18"/>
          </w:rPr>
        </w:r>
        <w:r w:rsidRPr="00E82CFC">
          <w:rPr>
            <w:rFonts w:ascii="Helvetica" w:hAnsi="Helvetica"/>
            <w:noProof/>
            <w:webHidden/>
            <w:sz w:val="18"/>
            <w:szCs w:val="18"/>
          </w:rPr>
          <w:fldChar w:fldCharType="separate"/>
        </w:r>
        <w:r w:rsidR="005B3E7D">
          <w:rPr>
            <w:rFonts w:ascii="Helvetica" w:hAnsi="Helvetica"/>
            <w:noProof/>
            <w:webHidden/>
            <w:sz w:val="18"/>
            <w:szCs w:val="18"/>
          </w:rPr>
          <w:t>21</w:t>
        </w:r>
        <w:r w:rsidRPr="00E82CFC">
          <w:rPr>
            <w:rFonts w:ascii="Helvetica" w:hAnsi="Helvetica"/>
            <w:noProof/>
            <w:webHidden/>
            <w:sz w:val="18"/>
            <w:szCs w:val="18"/>
          </w:rPr>
          <w:fldChar w:fldCharType="end"/>
        </w:r>
      </w:hyperlink>
    </w:p>
    <w:p w14:paraId="4D0FF7AC" w14:textId="28629EAA" w:rsidR="0011442A" w:rsidRPr="00E82CFC" w:rsidRDefault="0011442A">
      <w:pPr>
        <w:pStyle w:val="TOC2"/>
        <w:rPr>
          <w:rFonts w:ascii="Helvetica" w:eastAsiaTheme="minorEastAsia" w:hAnsi="Helvetica" w:cstheme="minorBidi"/>
          <w:b w:val="0"/>
          <w:bCs w:val="0"/>
          <w:noProof/>
          <w:kern w:val="2"/>
          <w:sz w:val="18"/>
          <w:szCs w:val="18"/>
          <w14:ligatures w14:val="standardContextual"/>
        </w:rPr>
      </w:pPr>
      <w:hyperlink w:anchor="_Toc207704029" w:history="1">
        <w:r w:rsidRPr="00E82CFC">
          <w:rPr>
            <w:rStyle w:val="Hyperlink"/>
            <w:rFonts w:ascii="Helvetica" w:hAnsi="Helvetica"/>
            <w:noProof/>
            <w:sz w:val="18"/>
            <w:szCs w:val="18"/>
          </w:rPr>
          <w:t>FIDA for Intellectual and Developmental Disabilities (FIDA-IDD)</w:t>
        </w:r>
        <w:r w:rsidRPr="00E82CFC">
          <w:rPr>
            <w:rFonts w:ascii="Helvetica" w:hAnsi="Helvetica"/>
            <w:noProof/>
            <w:webHidden/>
            <w:sz w:val="18"/>
            <w:szCs w:val="18"/>
          </w:rPr>
          <w:tab/>
        </w:r>
        <w:r w:rsidRPr="00E82CFC">
          <w:rPr>
            <w:rFonts w:ascii="Helvetica" w:hAnsi="Helvetica"/>
            <w:noProof/>
            <w:webHidden/>
            <w:sz w:val="18"/>
            <w:szCs w:val="18"/>
          </w:rPr>
          <w:fldChar w:fldCharType="begin"/>
        </w:r>
        <w:r w:rsidRPr="00E82CFC">
          <w:rPr>
            <w:rFonts w:ascii="Helvetica" w:hAnsi="Helvetica"/>
            <w:noProof/>
            <w:webHidden/>
            <w:sz w:val="18"/>
            <w:szCs w:val="18"/>
          </w:rPr>
          <w:instrText xml:space="preserve"> PAGEREF _Toc207704029 \h </w:instrText>
        </w:r>
        <w:r w:rsidRPr="00E82CFC">
          <w:rPr>
            <w:rFonts w:ascii="Helvetica" w:hAnsi="Helvetica"/>
            <w:noProof/>
            <w:webHidden/>
            <w:sz w:val="18"/>
            <w:szCs w:val="18"/>
          </w:rPr>
        </w:r>
        <w:r w:rsidRPr="00E82CFC">
          <w:rPr>
            <w:rFonts w:ascii="Helvetica" w:hAnsi="Helvetica"/>
            <w:noProof/>
            <w:webHidden/>
            <w:sz w:val="18"/>
            <w:szCs w:val="18"/>
          </w:rPr>
          <w:fldChar w:fldCharType="separate"/>
        </w:r>
        <w:r w:rsidR="005B3E7D">
          <w:rPr>
            <w:rFonts w:ascii="Helvetica" w:hAnsi="Helvetica"/>
            <w:noProof/>
            <w:webHidden/>
            <w:sz w:val="18"/>
            <w:szCs w:val="18"/>
          </w:rPr>
          <w:t>22</w:t>
        </w:r>
        <w:r w:rsidRPr="00E82CFC">
          <w:rPr>
            <w:rFonts w:ascii="Helvetica" w:hAnsi="Helvetica"/>
            <w:noProof/>
            <w:webHidden/>
            <w:sz w:val="18"/>
            <w:szCs w:val="18"/>
          </w:rPr>
          <w:fldChar w:fldCharType="end"/>
        </w:r>
      </w:hyperlink>
    </w:p>
    <w:p w14:paraId="789D5879" w14:textId="30B5FA43" w:rsidR="0011442A" w:rsidRPr="00E82CFC" w:rsidRDefault="0011442A" w:rsidP="00E82CFC">
      <w:pPr>
        <w:pStyle w:val="TOC1"/>
        <w:rPr>
          <w:rFonts w:eastAsiaTheme="minorEastAsia" w:cstheme="minorBidi"/>
          <w:kern w:val="2"/>
          <w14:ligatures w14:val="standardContextual"/>
        </w:rPr>
      </w:pPr>
      <w:hyperlink w:anchor="_Toc207704030" w:history="1">
        <w:r w:rsidRPr="00E82CFC">
          <w:rPr>
            <w:rStyle w:val="Hyperlink"/>
          </w:rPr>
          <w:t>Section 1115 Medicaid Demonstration Waivers</w:t>
        </w:r>
        <w:r w:rsidRPr="00E82CFC">
          <w:rPr>
            <w:webHidden/>
          </w:rPr>
          <w:tab/>
        </w:r>
        <w:r w:rsidRPr="00E82CFC">
          <w:rPr>
            <w:webHidden/>
          </w:rPr>
          <w:fldChar w:fldCharType="begin"/>
        </w:r>
        <w:r w:rsidRPr="00E82CFC">
          <w:rPr>
            <w:webHidden/>
          </w:rPr>
          <w:instrText xml:space="preserve"> PAGEREF _Toc207704030 \h </w:instrText>
        </w:r>
        <w:r w:rsidRPr="00E82CFC">
          <w:rPr>
            <w:webHidden/>
          </w:rPr>
        </w:r>
        <w:r w:rsidRPr="00E82CFC">
          <w:rPr>
            <w:webHidden/>
          </w:rPr>
          <w:fldChar w:fldCharType="separate"/>
        </w:r>
        <w:r w:rsidR="005B3E7D">
          <w:rPr>
            <w:webHidden/>
          </w:rPr>
          <w:t>22</w:t>
        </w:r>
        <w:r w:rsidRPr="00E82CFC">
          <w:rPr>
            <w:webHidden/>
          </w:rPr>
          <w:fldChar w:fldCharType="end"/>
        </w:r>
      </w:hyperlink>
    </w:p>
    <w:p w14:paraId="475815BD" w14:textId="41E58B92" w:rsidR="0011442A" w:rsidRPr="00E82CFC" w:rsidRDefault="0011442A">
      <w:pPr>
        <w:pStyle w:val="TOC2"/>
        <w:rPr>
          <w:rFonts w:ascii="Helvetica" w:eastAsiaTheme="minorEastAsia" w:hAnsi="Helvetica" w:cstheme="minorBidi"/>
          <w:b w:val="0"/>
          <w:bCs w:val="0"/>
          <w:noProof/>
          <w:kern w:val="2"/>
          <w:sz w:val="18"/>
          <w:szCs w:val="18"/>
          <w14:ligatures w14:val="standardContextual"/>
        </w:rPr>
      </w:pPr>
      <w:hyperlink w:anchor="_Toc207704031" w:history="1">
        <w:r w:rsidRPr="00E82CFC">
          <w:rPr>
            <w:rStyle w:val="Hyperlink"/>
            <w:rFonts w:ascii="Helvetica" w:hAnsi="Helvetica"/>
            <w:noProof/>
            <w:sz w:val="18"/>
            <w:szCs w:val="18"/>
          </w:rPr>
          <w:t>DSRIP</w:t>
        </w:r>
        <w:r w:rsidRPr="00E82CFC">
          <w:rPr>
            <w:rFonts w:ascii="Helvetica" w:hAnsi="Helvetica"/>
            <w:noProof/>
            <w:webHidden/>
            <w:sz w:val="18"/>
            <w:szCs w:val="18"/>
          </w:rPr>
          <w:tab/>
        </w:r>
        <w:r w:rsidRPr="00E82CFC">
          <w:rPr>
            <w:rFonts w:ascii="Helvetica" w:hAnsi="Helvetica"/>
            <w:noProof/>
            <w:webHidden/>
            <w:sz w:val="18"/>
            <w:szCs w:val="18"/>
          </w:rPr>
          <w:fldChar w:fldCharType="begin"/>
        </w:r>
        <w:r w:rsidRPr="00E82CFC">
          <w:rPr>
            <w:rFonts w:ascii="Helvetica" w:hAnsi="Helvetica"/>
            <w:noProof/>
            <w:webHidden/>
            <w:sz w:val="18"/>
            <w:szCs w:val="18"/>
          </w:rPr>
          <w:instrText xml:space="preserve"> PAGEREF _Toc207704031 \h </w:instrText>
        </w:r>
        <w:r w:rsidRPr="00E82CFC">
          <w:rPr>
            <w:rFonts w:ascii="Helvetica" w:hAnsi="Helvetica"/>
            <w:noProof/>
            <w:webHidden/>
            <w:sz w:val="18"/>
            <w:szCs w:val="18"/>
          </w:rPr>
        </w:r>
        <w:r w:rsidRPr="00E82CFC">
          <w:rPr>
            <w:rFonts w:ascii="Helvetica" w:hAnsi="Helvetica"/>
            <w:noProof/>
            <w:webHidden/>
            <w:sz w:val="18"/>
            <w:szCs w:val="18"/>
          </w:rPr>
          <w:fldChar w:fldCharType="separate"/>
        </w:r>
        <w:r w:rsidR="005B3E7D">
          <w:rPr>
            <w:rFonts w:ascii="Helvetica" w:hAnsi="Helvetica"/>
            <w:noProof/>
            <w:webHidden/>
            <w:sz w:val="18"/>
            <w:szCs w:val="18"/>
          </w:rPr>
          <w:t>23</w:t>
        </w:r>
        <w:r w:rsidRPr="00E82CFC">
          <w:rPr>
            <w:rFonts w:ascii="Helvetica" w:hAnsi="Helvetica"/>
            <w:noProof/>
            <w:webHidden/>
            <w:sz w:val="18"/>
            <w:szCs w:val="18"/>
          </w:rPr>
          <w:fldChar w:fldCharType="end"/>
        </w:r>
      </w:hyperlink>
    </w:p>
    <w:p w14:paraId="1946D033" w14:textId="07027C72" w:rsidR="0011442A" w:rsidRPr="00E82CFC" w:rsidRDefault="0011442A">
      <w:pPr>
        <w:pStyle w:val="TOC2"/>
        <w:rPr>
          <w:rFonts w:ascii="Helvetica" w:eastAsiaTheme="minorEastAsia" w:hAnsi="Helvetica" w:cstheme="minorBidi"/>
          <w:b w:val="0"/>
          <w:bCs w:val="0"/>
          <w:noProof/>
          <w:kern w:val="2"/>
          <w:sz w:val="18"/>
          <w:szCs w:val="18"/>
          <w14:ligatures w14:val="standardContextual"/>
        </w:rPr>
      </w:pPr>
      <w:hyperlink w:anchor="_Toc207704032" w:history="1">
        <w:r w:rsidRPr="00E82CFC">
          <w:rPr>
            <w:rStyle w:val="Hyperlink"/>
            <w:rFonts w:ascii="Helvetica" w:hAnsi="Helvetica"/>
            <w:noProof/>
            <w:sz w:val="18"/>
            <w:szCs w:val="18"/>
          </w:rPr>
          <w:t>New York Health Equity Reform Waiver Amendment</w:t>
        </w:r>
        <w:r w:rsidRPr="00E82CFC">
          <w:rPr>
            <w:rFonts w:ascii="Helvetica" w:hAnsi="Helvetica"/>
            <w:noProof/>
            <w:webHidden/>
            <w:sz w:val="18"/>
            <w:szCs w:val="18"/>
          </w:rPr>
          <w:tab/>
        </w:r>
        <w:r w:rsidRPr="00E82CFC">
          <w:rPr>
            <w:rFonts w:ascii="Helvetica" w:hAnsi="Helvetica"/>
            <w:noProof/>
            <w:webHidden/>
            <w:sz w:val="18"/>
            <w:szCs w:val="18"/>
          </w:rPr>
          <w:fldChar w:fldCharType="begin"/>
        </w:r>
        <w:r w:rsidRPr="00E82CFC">
          <w:rPr>
            <w:rFonts w:ascii="Helvetica" w:hAnsi="Helvetica"/>
            <w:noProof/>
            <w:webHidden/>
            <w:sz w:val="18"/>
            <w:szCs w:val="18"/>
          </w:rPr>
          <w:instrText xml:space="preserve"> PAGEREF _Toc207704032 \h </w:instrText>
        </w:r>
        <w:r w:rsidRPr="00E82CFC">
          <w:rPr>
            <w:rFonts w:ascii="Helvetica" w:hAnsi="Helvetica"/>
            <w:noProof/>
            <w:webHidden/>
            <w:sz w:val="18"/>
            <w:szCs w:val="18"/>
          </w:rPr>
        </w:r>
        <w:r w:rsidRPr="00E82CFC">
          <w:rPr>
            <w:rFonts w:ascii="Helvetica" w:hAnsi="Helvetica"/>
            <w:noProof/>
            <w:webHidden/>
            <w:sz w:val="18"/>
            <w:szCs w:val="18"/>
          </w:rPr>
          <w:fldChar w:fldCharType="separate"/>
        </w:r>
        <w:r w:rsidR="005B3E7D">
          <w:rPr>
            <w:rFonts w:ascii="Helvetica" w:hAnsi="Helvetica"/>
            <w:noProof/>
            <w:webHidden/>
            <w:sz w:val="18"/>
            <w:szCs w:val="18"/>
          </w:rPr>
          <w:t>24</w:t>
        </w:r>
        <w:r w:rsidRPr="00E82CFC">
          <w:rPr>
            <w:rFonts w:ascii="Helvetica" w:hAnsi="Helvetica"/>
            <w:noProof/>
            <w:webHidden/>
            <w:sz w:val="18"/>
            <w:szCs w:val="18"/>
          </w:rPr>
          <w:fldChar w:fldCharType="end"/>
        </w:r>
      </w:hyperlink>
    </w:p>
    <w:p w14:paraId="4CADF484" w14:textId="3B248105" w:rsidR="0011442A" w:rsidRPr="00E82CFC" w:rsidRDefault="0011442A">
      <w:pPr>
        <w:pStyle w:val="TOC3"/>
        <w:tabs>
          <w:tab w:val="right" w:leader="dot" w:pos="9350"/>
        </w:tabs>
        <w:rPr>
          <w:rFonts w:ascii="Helvetica" w:eastAsiaTheme="minorEastAsia" w:hAnsi="Helvetica" w:cstheme="minorBidi"/>
          <w:noProof/>
          <w:kern w:val="2"/>
          <w:szCs w:val="18"/>
          <w14:ligatures w14:val="standardContextual"/>
        </w:rPr>
      </w:pPr>
      <w:hyperlink w:anchor="_Toc207704033" w:history="1">
        <w:r w:rsidRPr="00066159">
          <w:rPr>
            <w:rStyle w:val="Hyperlink"/>
            <w:rFonts w:ascii="Helvetica" w:hAnsi="Helvetica"/>
            <w:noProof/>
            <w:szCs w:val="18"/>
            <w:shd w:val="clear" w:color="auto" w:fill="FFFFFF"/>
          </w:rPr>
          <w:t>Social Care Networks</w:t>
        </w:r>
      </w:hyperlink>
    </w:p>
    <w:p w14:paraId="488A4A70" w14:textId="125A433F" w:rsidR="0011442A" w:rsidRPr="00E82CFC" w:rsidRDefault="0011442A">
      <w:pPr>
        <w:pStyle w:val="TOC3"/>
        <w:tabs>
          <w:tab w:val="right" w:leader="dot" w:pos="9350"/>
        </w:tabs>
        <w:rPr>
          <w:rFonts w:ascii="Helvetica" w:eastAsiaTheme="minorEastAsia" w:hAnsi="Helvetica" w:cstheme="minorBidi"/>
          <w:noProof/>
          <w:kern w:val="2"/>
          <w:szCs w:val="18"/>
          <w14:ligatures w14:val="standardContextual"/>
        </w:rPr>
      </w:pPr>
      <w:hyperlink w:anchor="_Toc207704034" w:history="1">
        <w:r w:rsidRPr="00066159">
          <w:rPr>
            <w:rStyle w:val="Hyperlink"/>
            <w:rFonts w:ascii="Helvetica" w:hAnsi="Helvetica"/>
            <w:noProof/>
            <w:szCs w:val="18"/>
          </w:rPr>
          <w:t>Medicaid Hospital Global Budget Initiative</w:t>
        </w:r>
      </w:hyperlink>
    </w:p>
    <w:p w14:paraId="7C568665" w14:textId="44D38776" w:rsidR="0011442A" w:rsidRPr="00E82CFC" w:rsidRDefault="0011442A">
      <w:pPr>
        <w:pStyle w:val="TOC3"/>
        <w:tabs>
          <w:tab w:val="right" w:leader="dot" w:pos="9350"/>
        </w:tabs>
        <w:rPr>
          <w:rFonts w:ascii="Helvetica" w:eastAsiaTheme="minorEastAsia" w:hAnsi="Helvetica" w:cstheme="minorBidi"/>
          <w:noProof/>
          <w:kern w:val="2"/>
          <w:szCs w:val="18"/>
          <w14:ligatures w14:val="standardContextual"/>
        </w:rPr>
      </w:pPr>
      <w:hyperlink w:anchor="_Toc207704035" w:history="1">
        <w:r w:rsidRPr="00066159">
          <w:rPr>
            <w:rStyle w:val="Hyperlink"/>
            <w:rFonts w:ascii="Helvetica" w:hAnsi="Helvetica"/>
            <w:noProof/>
            <w:szCs w:val="18"/>
          </w:rPr>
          <w:t>Workforce Investment Organizations</w:t>
        </w:r>
      </w:hyperlink>
    </w:p>
    <w:p w14:paraId="1E6EDD7C" w14:textId="6AE8D362" w:rsidR="0011442A" w:rsidRPr="00E82CFC" w:rsidRDefault="0011442A">
      <w:pPr>
        <w:pStyle w:val="TOC2"/>
        <w:rPr>
          <w:rFonts w:ascii="Helvetica" w:eastAsiaTheme="minorEastAsia" w:hAnsi="Helvetica" w:cstheme="minorBidi"/>
          <w:b w:val="0"/>
          <w:bCs w:val="0"/>
          <w:noProof/>
          <w:kern w:val="2"/>
          <w:sz w:val="18"/>
          <w:szCs w:val="18"/>
          <w14:ligatures w14:val="standardContextual"/>
        </w:rPr>
      </w:pPr>
      <w:hyperlink w:anchor="_Toc207704036" w:history="1">
        <w:r w:rsidRPr="00E82CFC">
          <w:rPr>
            <w:rStyle w:val="Hyperlink"/>
            <w:rFonts w:ascii="Helvetica" w:hAnsi="Helvetica"/>
            <w:noProof/>
            <w:sz w:val="18"/>
            <w:szCs w:val="18"/>
          </w:rPr>
          <w:t>Value Based Payment (VBP) Roadmap</w:t>
        </w:r>
        <w:r w:rsidRPr="00E82CFC">
          <w:rPr>
            <w:rFonts w:ascii="Helvetica" w:hAnsi="Helvetica"/>
            <w:noProof/>
            <w:webHidden/>
            <w:sz w:val="18"/>
            <w:szCs w:val="18"/>
          </w:rPr>
          <w:tab/>
        </w:r>
        <w:r w:rsidRPr="00066159">
          <w:rPr>
            <w:rFonts w:ascii="Helvetica" w:hAnsi="Helvetica"/>
            <w:noProof/>
            <w:webHidden/>
            <w:sz w:val="18"/>
            <w:szCs w:val="18"/>
          </w:rPr>
          <w:fldChar w:fldCharType="begin"/>
        </w:r>
        <w:r w:rsidRPr="00E82CFC">
          <w:rPr>
            <w:rFonts w:ascii="Helvetica" w:hAnsi="Helvetica"/>
            <w:noProof/>
            <w:webHidden/>
            <w:sz w:val="18"/>
            <w:szCs w:val="18"/>
          </w:rPr>
          <w:instrText xml:space="preserve"> PAGEREF _Toc207704036 \h </w:instrText>
        </w:r>
        <w:r w:rsidRPr="00066159">
          <w:rPr>
            <w:rFonts w:ascii="Helvetica" w:hAnsi="Helvetica"/>
            <w:noProof/>
            <w:webHidden/>
            <w:sz w:val="18"/>
            <w:szCs w:val="18"/>
          </w:rPr>
        </w:r>
        <w:r w:rsidRPr="00066159">
          <w:rPr>
            <w:rFonts w:ascii="Helvetica" w:hAnsi="Helvetica"/>
            <w:noProof/>
            <w:webHidden/>
            <w:sz w:val="18"/>
            <w:szCs w:val="18"/>
          </w:rPr>
          <w:fldChar w:fldCharType="separate"/>
        </w:r>
        <w:r w:rsidR="005B3E7D">
          <w:rPr>
            <w:rFonts w:ascii="Helvetica" w:hAnsi="Helvetica"/>
            <w:noProof/>
            <w:webHidden/>
            <w:sz w:val="18"/>
            <w:szCs w:val="18"/>
          </w:rPr>
          <w:t>25</w:t>
        </w:r>
        <w:r w:rsidRPr="00066159">
          <w:rPr>
            <w:rFonts w:ascii="Helvetica" w:hAnsi="Helvetica"/>
            <w:noProof/>
            <w:webHidden/>
            <w:sz w:val="18"/>
            <w:szCs w:val="18"/>
          </w:rPr>
          <w:fldChar w:fldCharType="end"/>
        </w:r>
      </w:hyperlink>
    </w:p>
    <w:p w14:paraId="1E339D37" w14:textId="52196AF6" w:rsidR="0011442A" w:rsidRPr="00E82CFC" w:rsidRDefault="0011442A">
      <w:pPr>
        <w:pStyle w:val="TOC3"/>
        <w:tabs>
          <w:tab w:val="right" w:leader="dot" w:pos="9350"/>
        </w:tabs>
        <w:rPr>
          <w:rFonts w:ascii="Helvetica" w:eastAsiaTheme="minorEastAsia" w:hAnsi="Helvetica" w:cstheme="minorBidi"/>
          <w:noProof/>
          <w:kern w:val="2"/>
          <w:szCs w:val="18"/>
          <w14:ligatures w14:val="standardContextual"/>
        </w:rPr>
      </w:pPr>
      <w:hyperlink w:anchor="_Toc207704037" w:history="1">
        <w:r w:rsidRPr="00066159">
          <w:rPr>
            <w:rStyle w:val="Hyperlink"/>
            <w:rFonts w:ascii="Helvetica" w:hAnsi="Helvetica"/>
            <w:noProof/>
            <w:szCs w:val="18"/>
          </w:rPr>
          <w:t>VBP Innovator Program</w:t>
        </w:r>
      </w:hyperlink>
    </w:p>
    <w:p w14:paraId="3D22FF2D" w14:textId="2C2F0BBD" w:rsidR="0011442A" w:rsidRPr="00E82CFC" w:rsidRDefault="0011442A">
      <w:pPr>
        <w:pStyle w:val="TOC2"/>
        <w:rPr>
          <w:rFonts w:ascii="Helvetica" w:eastAsiaTheme="minorEastAsia" w:hAnsi="Helvetica" w:cstheme="minorBidi"/>
          <w:b w:val="0"/>
          <w:bCs w:val="0"/>
          <w:noProof/>
          <w:kern w:val="2"/>
          <w:sz w:val="18"/>
          <w:szCs w:val="18"/>
          <w14:ligatures w14:val="standardContextual"/>
        </w:rPr>
      </w:pPr>
      <w:hyperlink w:anchor="_Toc207704038" w:history="1">
        <w:r w:rsidRPr="00E82CFC">
          <w:rPr>
            <w:rStyle w:val="Hyperlink"/>
            <w:rFonts w:ascii="Helvetica" w:hAnsi="Helvetica"/>
            <w:noProof/>
            <w:sz w:val="18"/>
            <w:szCs w:val="18"/>
          </w:rPr>
          <w:t>Continuous Medicaid/CHP Coverage for Children Waiver Amendment</w:t>
        </w:r>
        <w:r w:rsidRPr="00E82CFC">
          <w:rPr>
            <w:rFonts w:ascii="Helvetica" w:hAnsi="Helvetica"/>
            <w:noProof/>
            <w:webHidden/>
            <w:sz w:val="18"/>
            <w:szCs w:val="18"/>
          </w:rPr>
          <w:tab/>
        </w:r>
        <w:r w:rsidRPr="00066159">
          <w:rPr>
            <w:rFonts w:ascii="Helvetica" w:hAnsi="Helvetica"/>
            <w:noProof/>
            <w:webHidden/>
            <w:sz w:val="18"/>
            <w:szCs w:val="18"/>
          </w:rPr>
          <w:fldChar w:fldCharType="begin"/>
        </w:r>
        <w:r w:rsidRPr="00E82CFC">
          <w:rPr>
            <w:rFonts w:ascii="Helvetica" w:hAnsi="Helvetica"/>
            <w:noProof/>
            <w:webHidden/>
            <w:sz w:val="18"/>
            <w:szCs w:val="18"/>
          </w:rPr>
          <w:instrText xml:space="preserve"> PAGEREF _Toc207704038 \h </w:instrText>
        </w:r>
        <w:r w:rsidRPr="00066159">
          <w:rPr>
            <w:rFonts w:ascii="Helvetica" w:hAnsi="Helvetica"/>
            <w:noProof/>
            <w:webHidden/>
            <w:sz w:val="18"/>
            <w:szCs w:val="18"/>
          </w:rPr>
        </w:r>
        <w:r w:rsidRPr="00066159">
          <w:rPr>
            <w:rFonts w:ascii="Helvetica" w:hAnsi="Helvetica"/>
            <w:noProof/>
            <w:webHidden/>
            <w:sz w:val="18"/>
            <w:szCs w:val="18"/>
          </w:rPr>
          <w:fldChar w:fldCharType="separate"/>
        </w:r>
        <w:r w:rsidR="005B3E7D">
          <w:rPr>
            <w:rFonts w:ascii="Helvetica" w:hAnsi="Helvetica"/>
            <w:noProof/>
            <w:webHidden/>
            <w:sz w:val="18"/>
            <w:szCs w:val="18"/>
          </w:rPr>
          <w:t>26</w:t>
        </w:r>
        <w:r w:rsidRPr="00066159">
          <w:rPr>
            <w:rFonts w:ascii="Helvetica" w:hAnsi="Helvetica"/>
            <w:noProof/>
            <w:webHidden/>
            <w:sz w:val="18"/>
            <w:szCs w:val="18"/>
          </w:rPr>
          <w:fldChar w:fldCharType="end"/>
        </w:r>
      </w:hyperlink>
    </w:p>
    <w:p w14:paraId="02A44408" w14:textId="56F52200" w:rsidR="0011442A" w:rsidRPr="00066159" w:rsidRDefault="0011442A" w:rsidP="00E82CFC">
      <w:pPr>
        <w:pStyle w:val="TOC1"/>
        <w:rPr>
          <w:rFonts w:eastAsiaTheme="minorEastAsia" w:cstheme="minorBidi"/>
          <w:kern w:val="2"/>
          <w14:ligatures w14:val="standardContextual"/>
        </w:rPr>
      </w:pPr>
      <w:hyperlink w:anchor="_Toc207704039" w:history="1">
        <w:r w:rsidRPr="00E82CFC">
          <w:rPr>
            <w:rStyle w:val="Hyperlink"/>
          </w:rPr>
          <w:t>Safety Net and Supplemental Payments</w:t>
        </w:r>
        <w:r w:rsidRPr="00E82CFC">
          <w:rPr>
            <w:webHidden/>
          </w:rPr>
          <w:tab/>
        </w:r>
        <w:r w:rsidRPr="00E82CFC">
          <w:rPr>
            <w:webHidden/>
          </w:rPr>
          <w:fldChar w:fldCharType="begin"/>
        </w:r>
        <w:r w:rsidRPr="00E82CFC">
          <w:rPr>
            <w:webHidden/>
          </w:rPr>
          <w:instrText xml:space="preserve"> PAGEREF _Toc207704039 \h </w:instrText>
        </w:r>
        <w:r w:rsidRPr="00E82CFC">
          <w:rPr>
            <w:webHidden/>
          </w:rPr>
        </w:r>
        <w:r w:rsidRPr="00E82CFC">
          <w:rPr>
            <w:webHidden/>
          </w:rPr>
          <w:fldChar w:fldCharType="separate"/>
        </w:r>
        <w:r w:rsidR="005B3E7D">
          <w:rPr>
            <w:webHidden/>
          </w:rPr>
          <w:t>27</w:t>
        </w:r>
        <w:r w:rsidRPr="00E82CFC">
          <w:rPr>
            <w:webHidden/>
          </w:rPr>
          <w:fldChar w:fldCharType="end"/>
        </w:r>
      </w:hyperlink>
    </w:p>
    <w:p w14:paraId="72D2A2D9" w14:textId="737C065B" w:rsidR="0011442A" w:rsidRPr="00066159" w:rsidRDefault="0011442A">
      <w:pPr>
        <w:pStyle w:val="TOC2"/>
        <w:rPr>
          <w:rFonts w:ascii="Helvetica" w:eastAsiaTheme="minorEastAsia" w:hAnsi="Helvetica" w:cstheme="minorBidi"/>
          <w:b w:val="0"/>
          <w:bCs w:val="0"/>
          <w:noProof/>
          <w:kern w:val="2"/>
          <w:sz w:val="18"/>
          <w:szCs w:val="18"/>
          <w14:ligatures w14:val="standardContextual"/>
        </w:rPr>
      </w:pPr>
      <w:hyperlink w:anchor="_Toc207704040" w:history="1">
        <w:r w:rsidRPr="00066159">
          <w:rPr>
            <w:rStyle w:val="Hyperlink"/>
            <w:rFonts w:ascii="Helvetica" w:hAnsi="Helvetica"/>
            <w:noProof/>
            <w:sz w:val="18"/>
            <w:szCs w:val="18"/>
          </w:rPr>
          <w:t>Medicaid Disproportionate Share Hospital (DSH) Payments</w:t>
        </w:r>
        <w:r w:rsidRPr="00066159">
          <w:rPr>
            <w:rFonts w:ascii="Helvetica" w:hAnsi="Helvetica"/>
            <w:noProof/>
            <w:webHidden/>
            <w:sz w:val="18"/>
            <w:szCs w:val="18"/>
          </w:rPr>
          <w:tab/>
        </w:r>
        <w:r w:rsidRPr="00066159">
          <w:rPr>
            <w:rFonts w:ascii="Helvetica" w:hAnsi="Helvetica"/>
            <w:noProof/>
            <w:webHidden/>
            <w:sz w:val="18"/>
            <w:szCs w:val="18"/>
          </w:rPr>
          <w:fldChar w:fldCharType="begin"/>
        </w:r>
        <w:r w:rsidRPr="00066159">
          <w:rPr>
            <w:rFonts w:ascii="Helvetica" w:hAnsi="Helvetica"/>
            <w:noProof/>
            <w:webHidden/>
            <w:sz w:val="18"/>
            <w:szCs w:val="18"/>
          </w:rPr>
          <w:instrText xml:space="preserve"> PAGEREF _Toc207704040 \h </w:instrText>
        </w:r>
        <w:r w:rsidRPr="00066159">
          <w:rPr>
            <w:rFonts w:ascii="Helvetica" w:hAnsi="Helvetica"/>
            <w:noProof/>
            <w:webHidden/>
            <w:sz w:val="18"/>
            <w:szCs w:val="18"/>
          </w:rPr>
        </w:r>
        <w:r w:rsidRPr="00066159">
          <w:rPr>
            <w:rFonts w:ascii="Helvetica" w:hAnsi="Helvetica"/>
            <w:noProof/>
            <w:webHidden/>
            <w:sz w:val="18"/>
            <w:szCs w:val="18"/>
          </w:rPr>
          <w:fldChar w:fldCharType="separate"/>
        </w:r>
        <w:r w:rsidR="005B3E7D">
          <w:rPr>
            <w:rFonts w:ascii="Helvetica" w:hAnsi="Helvetica"/>
            <w:noProof/>
            <w:webHidden/>
            <w:sz w:val="18"/>
            <w:szCs w:val="18"/>
          </w:rPr>
          <w:t>27</w:t>
        </w:r>
        <w:r w:rsidRPr="00066159">
          <w:rPr>
            <w:rFonts w:ascii="Helvetica" w:hAnsi="Helvetica"/>
            <w:noProof/>
            <w:webHidden/>
            <w:sz w:val="18"/>
            <w:szCs w:val="18"/>
          </w:rPr>
          <w:fldChar w:fldCharType="end"/>
        </w:r>
      </w:hyperlink>
    </w:p>
    <w:p w14:paraId="15BE44AA" w14:textId="31364824" w:rsidR="0011442A" w:rsidRPr="00066159" w:rsidRDefault="0011442A">
      <w:pPr>
        <w:pStyle w:val="TOC2"/>
        <w:rPr>
          <w:rFonts w:ascii="Helvetica" w:eastAsiaTheme="minorEastAsia" w:hAnsi="Helvetica" w:cstheme="minorBidi"/>
          <w:b w:val="0"/>
          <w:bCs w:val="0"/>
          <w:noProof/>
          <w:kern w:val="2"/>
          <w:sz w:val="18"/>
          <w:szCs w:val="18"/>
          <w14:ligatures w14:val="standardContextual"/>
        </w:rPr>
      </w:pPr>
      <w:hyperlink w:anchor="_Toc207704041" w:history="1">
        <w:r w:rsidRPr="00066159">
          <w:rPr>
            <w:rStyle w:val="Hyperlink"/>
            <w:rFonts w:ascii="Helvetica" w:hAnsi="Helvetica"/>
            <w:noProof/>
            <w:sz w:val="18"/>
            <w:szCs w:val="18"/>
          </w:rPr>
          <w:t>Indigent Care Pool (ICP)</w:t>
        </w:r>
        <w:r w:rsidRPr="00066159">
          <w:rPr>
            <w:rFonts w:ascii="Helvetica" w:hAnsi="Helvetica"/>
            <w:noProof/>
            <w:webHidden/>
            <w:sz w:val="18"/>
            <w:szCs w:val="18"/>
          </w:rPr>
          <w:tab/>
        </w:r>
        <w:r w:rsidRPr="00066159">
          <w:rPr>
            <w:rFonts w:ascii="Helvetica" w:hAnsi="Helvetica"/>
            <w:noProof/>
            <w:webHidden/>
            <w:sz w:val="18"/>
            <w:szCs w:val="18"/>
          </w:rPr>
          <w:fldChar w:fldCharType="begin"/>
        </w:r>
        <w:r w:rsidRPr="00066159">
          <w:rPr>
            <w:rFonts w:ascii="Helvetica" w:hAnsi="Helvetica"/>
            <w:noProof/>
            <w:webHidden/>
            <w:sz w:val="18"/>
            <w:szCs w:val="18"/>
          </w:rPr>
          <w:instrText xml:space="preserve"> PAGEREF _Toc207704041 \h </w:instrText>
        </w:r>
        <w:r w:rsidRPr="00066159">
          <w:rPr>
            <w:rFonts w:ascii="Helvetica" w:hAnsi="Helvetica"/>
            <w:noProof/>
            <w:webHidden/>
            <w:sz w:val="18"/>
            <w:szCs w:val="18"/>
          </w:rPr>
        </w:r>
        <w:r w:rsidRPr="00066159">
          <w:rPr>
            <w:rFonts w:ascii="Helvetica" w:hAnsi="Helvetica"/>
            <w:noProof/>
            <w:webHidden/>
            <w:sz w:val="18"/>
            <w:szCs w:val="18"/>
          </w:rPr>
          <w:fldChar w:fldCharType="separate"/>
        </w:r>
        <w:r w:rsidR="005B3E7D">
          <w:rPr>
            <w:rFonts w:ascii="Helvetica" w:hAnsi="Helvetica"/>
            <w:noProof/>
            <w:webHidden/>
            <w:sz w:val="18"/>
            <w:szCs w:val="18"/>
          </w:rPr>
          <w:t>27</w:t>
        </w:r>
        <w:r w:rsidRPr="00066159">
          <w:rPr>
            <w:rFonts w:ascii="Helvetica" w:hAnsi="Helvetica"/>
            <w:noProof/>
            <w:webHidden/>
            <w:sz w:val="18"/>
            <w:szCs w:val="18"/>
          </w:rPr>
          <w:fldChar w:fldCharType="end"/>
        </w:r>
      </w:hyperlink>
    </w:p>
    <w:p w14:paraId="3F5CF278" w14:textId="11FC7761" w:rsidR="0011442A" w:rsidRPr="00066159" w:rsidRDefault="0011442A">
      <w:pPr>
        <w:pStyle w:val="TOC3"/>
        <w:tabs>
          <w:tab w:val="right" w:leader="dot" w:pos="9350"/>
        </w:tabs>
        <w:rPr>
          <w:rFonts w:ascii="Helvetica" w:eastAsiaTheme="minorEastAsia" w:hAnsi="Helvetica" w:cstheme="minorBidi"/>
          <w:noProof/>
          <w:kern w:val="2"/>
          <w:szCs w:val="18"/>
          <w14:ligatures w14:val="standardContextual"/>
        </w:rPr>
      </w:pPr>
      <w:hyperlink w:anchor="_Toc207704042" w:history="1">
        <w:r w:rsidRPr="00066159">
          <w:rPr>
            <w:rStyle w:val="Hyperlink"/>
            <w:rFonts w:ascii="Helvetica" w:hAnsi="Helvetica"/>
            <w:noProof/>
            <w:szCs w:val="18"/>
          </w:rPr>
          <w:t>CCBHC Indigent Care Program</w:t>
        </w:r>
      </w:hyperlink>
    </w:p>
    <w:p w14:paraId="6BCEAEB9" w14:textId="5F1E79F4" w:rsidR="0011442A" w:rsidRPr="00066159" w:rsidRDefault="0011442A">
      <w:pPr>
        <w:pStyle w:val="TOC2"/>
        <w:rPr>
          <w:rFonts w:ascii="Helvetica" w:eastAsiaTheme="minorEastAsia" w:hAnsi="Helvetica" w:cstheme="minorBidi"/>
          <w:b w:val="0"/>
          <w:bCs w:val="0"/>
          <w:noProof/>
          <w:kern w:val="2"/>
          <w:sz w:val="18"/>
          <w:szCs w:val="18"/>
          <w14:ligatures w14:val="standardContextual"/>
        </w:rPr>
      </w:pPr>
      <w:hyperlink w:anchor="_Toc207704043" w:history="1">
        <w:r w:rsidRPr="00066159">
          <w:rPr>
            <w:rStyle w:val="Hyperlink"/>
            <w:rFonts w:ascii="Helvetica" w:hAnsi="Helvetica"/>
            <w:noProof/>
            <w:sz w:val="18"/>
            <w:szCs w:val="18"/>
          </w:rPr>
          <w:t>State-Directed Payments to Financially Distressed Hospitals</w:t>
        </w:r>
        <w:r w:rsidRPr="00066159">
          <w:rPr>
            <w:rFonts w:ascii="Helvetica" w:hAnsi="Helvetica"/>
            <w:noProof/>
            <w:webHidden/>
            <w:sz w:val="18"/>
            <w:szCs w:val="18"/>
          </w:rPr>
          <w:tab/>
        </w:r>
        <w:r w:rsidRPr="00066159">
          <w:rPr>
            <w:rFonts w:ascii="Helvetica" w:hAnsi="Helvetica"/>
            <w:noProof/>
            <w:webHidden/>
            <w:sz w:val="18"/>
            <w:szCs w:val="18"/>
          </w:rPr>
          <w:fldChar w:fldCharType="begin"/>
        </w:r>
        <w:r w:rsidRPr="00066159">
          <w:rPr>
            <w:rFonts w:ascii="Helvetica" w:hAnsi="Helvetica"/>
            <w:noProof/>
            <w:webHidden/>
            <w:sz w:val="18"/>
            <w:szCs w:val="18"/>
          </w:rPr>
          <w:instrText xml:space="preserve"> PAGEREF _Toc207704043 \h </w:instrText>
        </w:r>
        <w:r w:rsidRPr="00066159">
          <w:rPr>
            <w:rFonts w:ascii="Helvetica" w:hAnsi="Helvetica"/>
            <w:noProof/>
            <w:webHidden/>
            <w:sz w:val="18"/>
            <w:szCs w:val="18"/>
          </w:rPr>
        </w:r>
        <w:r w:rsidRPr="00066159">
          <w:rPr>
            <w:rFonts w:ascii="Helvetica" w:hAnsi="Helvetica"/>
            <w:noProof/>
            <w:webHidden/>
            <w:sz w:val="18"/>
            <w:szCs w:val="18"/>
          </w:rPr>
          <w:fldChar w:fldCharType="separate"/>
        </w:r>
        <w:r w:rsidR="005B3E7D">
          <w:rPr>
            <w:rFonts w:ascii="Helvetica" w:hAnsi="Helvetica"/>
            <w:noProof/>
            <w:webHidden/>
            <w:sz w:val="18"/>
            <w:szCs w:val="18"/>
          </w:rPr>
          <w:t>28</w:t>
        </w:r>
        <w:r w:rsidRPr="00066159">
          <w:rPr>
            <w:rFonts w:ascii="Helvetica" w:hAnsi="Helvetica"/>
            <w:noProof/>
            <w:webHidden/>
            <w:sz w:val="18"/>
            <w:szCs w:val="18"/>
          </w:rPr>
          <w:fldChar w:fldCharType="end"/>
        </w:r>
      </w:hyperlink>
    </w:p>
    <w:p w14:paraId="7311D3D5" w14:textId="63B16E91" w:rsidR="0011442A" w:rsidRPr="00066159" w:rsidRDefault="0011442A">
      <w:pPr>
        <w:pStyle w:val="TOC2"/>
        <w:rPr>
          <w:rFonts w:ascii="Helvetica" w:eastAsiaTheme="minorEastAsia" w:hAnsi="Helvetica" w:cstheme="minorBidi"/>
          <w:b w:val="0"/>
          <w:bCs w:val="0"/>
          <w:noProof/>
          <w:kern w:val="2"/>
          <w:sz w:val="18"/>
          <w:szCs w:val="18"/>
          <w14:ligatures w14:val="standardContextual"/>
        </w:rPr>
      </w:pPr>
      <w:hyperlink w:anchor="_Toc207704044" w:history="1">
        <w:r w:rsidRPr="00066159">
          <w:rPr>
            <w:rStyle w:val="Hyperlink"/>
            <w:rFonts w:ascii="Helvetica" w:hAnsi="Helvetica"/>
            <w:noProof/>
            <w:sz w:val="18"/>
            <w:szCs w:val="18"/>
          </w:rPr>
          <w:t>The Upper Payment Limit (UPL) and Other Supplemental Payments</w:t>
        </w:r>
        <w:r w:rsidRPr="00066159">
          <w:rPr>
            <w:rFonts w:ascii="Helvetica" w:hAnsi="Helvetica"/>
            <w:noProof/>
            <w:webHidden/>
            <w:sz w:val="18"/>
            <w:szCs w:val="18"/>
          </w:rPr>
          <w:tab/>
        </w:r>
        <w:r w:rsidRPr="00066159">
          <w:rPr>
            <w:rFonts w:ascii="Helvetica" w:hAnsi="Helvetica"/>
            <w:noProof/>
            <w:webHidden/>
            <w:sz w:val="18"/>
            <w:szCs w:val="18"/>
          </w:rPr>
          <w:fldChar w:fldCharType="begin"/>
        </w:r>
        <w:r w:rsidRPr="00066159">
          <w:rPr>
            <w:rFonts w:ascii="Helvetica" w:hAnsi="Helvetica"/>
            <w:noProof/>
            <w:webHidden/>
            <w:sz w:val="18"/>
            <w:szCs w:val="18"/>
          </w:rPr>
          <w:instrText xml:space="preserve"> PAGEREF _Toc207704044 \h </w:instrText>
        </w:r>
        <w:r w:rsidRPr="00066159">
          <w:rPr>
            <w:rFonts w:ascii="Helvetica" w:hAnsi="Helvetica"/>
            <w:noProof/>
            <w:webHidden/>
            <w:sz w:val="18"/>
            <w:szCs w:val="18"/>
          </w:rPr>
        </w:r>
        <w:r w:rsidRPr="00066159">
          <w:rPr>
            <w:rFonts w:ascii="Helvetica" w:hAnsi="Helvetica"/>
            <w:noProof/>
            <w:webHidden/>
            <w:sz w:val="18"/>
            <w:szCs w:val="18"/>
          </w:rPr>
          <w:fldChar w:fldCharType="separate"/>
        </w:r>
        <w:r w:rsidR="005B3E7D">
          <w:rPr>
            <w:rFonts w:ascii="Helvetica" w:hAnsi="Helvetica"/>
            <w:noProof/>
            <w:webHidden/>
            <w:sz w:val="18"/>
            <w:szCs w:val="18"/>
          </w:rPr>
          <w:t>29</w:t>
        </w:r>
        <w:r w:rsidRPr="00066159">
          <w:rPr>
            <w:rFonts w:ascii="Helvetica" w:hAnsi="Helvetica"/>
            <w:noProof/>
            <w:webHidden/>
            <w:sz w:val="18"/>
            <w:szCs w:val="18"/>
          </w:rPr>
          <w:fldChar w:fldCharType="end"/>
        </w:r>
      </w:hyperlink>
    </w:p>
    <w:p w14:paraId="0DF8907D" w14:textId="59DFDC7E" w:rsidR="0011442A" w:rsidRPr="00066159" w:rsidRDefault="0011442A">
      <w:pPr>
        <w:pStyle w:val="TOC2"/>
        <w:rPr>
          <w:rFonts w:ascii="Helvetica" w:eastAsiaTheme="minorEastAsia" w:hAnsi="Helvetica" w:cstheme="minorBidi"/>
          <w:b w:val="0"/>
          <w:bCs w:val="0"/>
          <w:noProof/>
          <w:kern w:val="2"/>
          <w:sz w:val="18"/>
          <w:szCs w:val="18"/>
          <w14:ligatures w14:val="standardContextual"/>
        </w:rPr>
      </w:pPr>
      <w:hyperlink w:anchor="_Toc207704045" w:history="1">
        <w:r w:rsidRPr="00066159">
          <w:rPr>
            <w:rStyle w:val="Hyperlink"/>
            <w:rFonts w:ascii="Helvetica" w:hAnsi="Helvetica"/>
            <w:noProof/>
            <w:sz w:val="18"/>
            <w:szCs w:val="18"/>
          </w:rPr>
          <w:t>Safety Net Transformation Program</w:t>
        </w:r>
        <w:r w:rsidRPr="00066159">
          <w:rPr>
            <w:rFonts w:ascii="Helvetica" w:hAnsi="Helvetica"/>
            <w:noProof/>
            <w:webHidden/>
            <w:sz w:val="18"/>
            <w:szCs w:val="18"/>
          </w:rPr>
          <w:tab/>
        </w:r>
        <w:r w:rsidRPr="00066159">
          <w:rPr>
            <w:rFonts w:ascii="Helvetica" w:hAnsi="Helvetica"/>
            <w:noProof/>
            <w:webHidden/>
            <w:sz w:val="18"/>
            <w:szCs w:val="18"/>
          </w:rPr>
          <w:fldChar w:fldCharType="begin"/>
        </w:r>
        <w:r w:rsidRPr="00066159">
          <w:rPr>
            <w:rFonts w:ascii="Helvetica" w:hAnsi="Helvetica"/>
            <w:noProof/>
            <w:webHidden/>
            <w:sz w:val="18"/>
            <w:szCs w:val="18"/>
          </w:rPr>
          <w:instrText xml:space="preserve"> PAGEREF _Toc207704045 \h </w:instrText>
        </w:r>
        <w:r w:rsidRPr="00066159">
          <w:rPr>
            <w:rFonts w:ascii="Helvetica" w:hAnsi="Helvetica"/>
            <w:noProof/>
            <w:webHidden/>
            <w:sz w:val="18"/>
            <w:szCs w:val="18"/>
          </w:rPr>
        </w:r>
        <w:r w:rsidRPr="00066159">
          <w:rPr>
            <w:rFonts w:ascii="Helvetica" w:hAnsi="Helvetica"/>
            <w:noProof/>
            <w:webHidden/>
            <w:sz w:val="18"/>
            <w:szCs w:val="18"/>
          </w:rPr>
          <w:fldChar w:fldCharType="separate"/>
        </w:r>
        <w:r w:rsidR="005B3E7D">
          <w:rPr>
            <w:rFonts w:ascii="Helvetica" w:hAnsi="Helvetica"/>
            <w:noProof/>
            <w:webHidden/>
            <w:sz w:val="18"/>
            <w:szCs w:val="18"/>
          </w:rPr>
          <w:t>29</w:t>
        </w:r>
        <w:r w:rsidRPr="00066159">
          <w:rPr>
            <w:rFonts w:ascii="Helvetica" w:hAnsi="Helvetica"/>
            <w:noProof/>
            <w:webHidden/>
            <w:sz w:val="18"/>
            <w:szCs w:val="18"/>
          </w:rPr>
          <w:fldChar w:fldCharType="end"/>
        </w:r>
      </w:hyperlink>
    </w:p>
    <w:p w14:paraId="4881A83A" w14:textId="77777777" w:rsidR="00402F0A" w:rsidRDefault="00402F0A" w:rsidP="00402F0A">
      <w:pPr>
        <w:rPr>
          <w:rFonts w:ascii="Times New Roman" w:hAnsi="Times New Roman" w:cs="Times New Roman"/>
          <w:sz w:val="24"/>
          <w:szCs w:val="24"/>
        </w:rPr>
      </w:pPr>
      <w:r w:rsidRPr="002C010B">
        <w:rPr>
          <w:rFonts w:ascii="Helvetica" w:hAnsi="Helvetica" w:cs="Times New Roman"/>
          <w:sz w:val="18"/>
          <w:szCs w:val="18"/>
        </w:rPr>
        <w:fldChar w:fldCharType="end"/>
      </w:r>
    </w:p>
    <w:p w14:paraId="62DD2F96" w14:textId="5A12F25B" w:rsidR="00402F0A" w:rsidRPr="00DC338B" w:rsidRDefault="00402F0A" w:rsidP="00402F0A">
      <w:pPr>
        <w:pStyle w:val="TOCHeading"/>
        <w:spacing w:before="0"/>
        <w:rPr>
          <w:rFonts w:ascii="Times New Roman" w:hAnsi="Times New Roman" w:cs="Times New Roman"/>
          <w:color w:val="FFFFFF" w:themeColor="background1"/>
          <w:sz w:val="4"/>
          <w:szCs w:val="4"/>
        </w:rPr>
      </w:pPr>
    </w:p>
    <w:p w14:paraId="651D4498" w14:textId="77777777" w:rsidR="007C25DD" w:rsidRDefault="007C25DD">
      <w:pPr>
        <w:rPr>
          <w:rFonts w:ascii="Helvetica" w:hAnsi="Helvetica"/>
          <w:b/>
          <w:bCs/>
          <w:color w:val="0F357F"/>
          <w:sz w:val="36"/>
          <w:szCs w:val="36"/>
        </w:rPr>
      </w:pPr>
      <w:bookmarkStart w:id="1" w:name="_Toc207703997"/>
      <w:r>
        <w:br w:type="page"/>
      </w:r>
    </w:p>
    <w:p w14:paraId="5A778347" w14:textId="41B202AB" w:rsidR="00402F0A" w:rsidRDefault="00402F0A" w:rsidP="00402F0A">
      <w:pPr>
        <w:pStyle w:val="Heading1"/>
      </w:pPr>
      <w:r>
        <w:lastRenderedPageBreak/>
        <w:t>Introduction</w:t>
      </w:r>
      <w:bookmarkEnd w:id="1"/>
    </w:p>
    <w:p w14:paraId="35F42950" w14:textId="21EF8BB8" w:rsidR="00402F0A" w:rsidRDefault="00402F0A" w:rsidP="00402F0A">
      <w:pPr>
        <w:spacing w:before="120" w:after="120"/>
      </w:pPr>
      <w:r>
        <w:t xml:space="preserve">This </w:t>
      </w:r>
      <w:r w:rsidR="00CD1A5E">
        <w:t>primer</w:t>
      </w:r>
      <w:r>
        <w:t xml:space="preserve"> is a reference document to help SPG clients understand the major components of New York’s Medicaid system. Medicaid is the single largest payer in the state by number of enrollees, with 6.9 million as of May 2025.</w:t>
      </w:r>
      <w:r w:rsidRPr="00806D3C">
        <w:t xml:space="preserve"> </w:t>
      </w:r>
      <w:r>
        <w:t xml:space="preserve">It is also one of the most expensive Medicaid programs nationally, with total spending of $101.5 billion in state Fiscal Year 2024 (April 2023 to March 2024). </w:t>
      </w:r>
    </w:p>
    <w:p w14:paraId="72E1B8D4" w14:textId="36D7CCB3" w:rsidR="00402F0A" w:rsidRDefault="00402F0A" w:rsidP="00402F0A">
      <w:pPr>
        <w:spacing w:before="120" w:after="120"/>
      </w:pPr>
      <w:r>
        <w:t>Spending has increased dra</w:t>
      </w:r>
      <w:r w:rsidR="00FF1AFA">
        <w:t>matically</w:t>
      </w:r>
      <w:r>
        <w:t xml:space="preserve"> since the Covid-19 pandemic for various reasons, including enrollment growth (enrollment remains about 17% above the pre-pandemic level); a </w:t>
      </w:r>
      <w:r w:rsidR="00FF1AFA">
        <w:t>substantial</w:t>
      </w:r>
      <w:r>
        <w:t xml:space="preserve"> increase in the number of people receiving long-term care, particularly through Consumer-Directed Personal Assistance Services (CDPAS); and higher rates related to wage increases and inflation. </w:t>
      </w:r>
    </w:p>
    <w:p w14:paraId="587C83E4" w14:textId="5435182E" w:rsidR="00402F0A" w:rsidRDefault="00402F0A" w:rsidP="00402F0A">
      <w:pPr>
        <w:spacing w:before="120" w:after="120"/>
      </w:pPr>
      <w:r>
        <w:t>Other major post-Covid changes include the establishment of the 1332 waiver for the Essential Plan; the establishment of a nearly $2 billion state-directed payment (SDP) for hospital safety net payments; and the establishment in 2025 of a Managed Care Organization provider tax to pull down additional revenue.</w:t>
      </w:r>
      <w:r w:rsidR="00FF1AFA">
        <w:t xml:space="preserve"> All three of these changes will be severely impacted by federal cuts to Medicaid and the Essential Plan passed by Congress in 2025.</w:t>
      </w:r>
    </w:p>
    <w:p w14:paraId="3BDCAACE" w14:textId="77777777" w:rsidR="00402F0A" w:rsidRDefault="00402F0A" w:rsidP="00402F0A">
      <w:pPr>
        <w:pStyle w:val="Heading2"/>
      </w:pPr>
      <w:bookmarkStart w:id="2" w:name="_Toc207703998"/>
      <w:r>
        <w:t>Program Structure</w:t>
      </w:r>
      <w:bookmarkEnd w:id="2"/>
    </w:p>
    <w:p w14:paraId="1B9166AC" w14:textId="428DE7B9" w:rsidR="00402F0A" w:rsidRDefault="00402F0A" w:rsidP="00402F0A">
      <w:pPr>
        <w:spacing w:before="120" w:after="120"/>
      </w:pPr>
      <w:r>
        <w:t xml:space="preserve">Medicaid </w:t>
      </w:r>
      <w:r w:rsidR="001D0AB1">
        <w:t xml:space="preserve">in New York </w:t>
      </w:r>
      <w:r>
        <w:t xml:space="preserve">has both fee-for-service (administered directly by NYS) and managed care components. Most people on Medicaid are enrolled in a </w:t>
      </w:r>
      <w:r w:rsidRPr="00D72CF3">
        <w:rPr>
          <w:b/>
          <w:bCs/>
        </w:rPr>
        <w:t>mainstream</w:t>
      </w:r>
      <w:r>
        <w:t xml:space="preserve"> managed care plan which operates similarly to other commercial coverage options</w:t>
      </w:r>
      <w:r w:rsidR="001D0AB1">
        <w:t>, but with almost no out of pocket costs</w:t>
      </w:r>
      <w:r>
        <w:t xml:space="preserve">. New York also has </w:t>
      </w:r>
      <w:r w:rsidRPr="00D72CF3">
        <w:rPr>
          <w:b/>
          <w:bCs/>
        </w:rPr>
        <w:t>specialty</w:t>
      </w:r>
      <w:r>
        <w:t xml:space="preserve"> managed care plans called HARPs, designed for people with significant behavioral health needs. The system is more complex for people w</w:t>
      </w:r>
      <w:r w:rsidR="001D0AB1">
        <w:t>ho qualify for</w:t>
      </w:r>
      <w:r>
        <w:t xml:space="preserve"> long-term care </w:t>
      </w:r>
      <w:r w:rsidR="00C3589B">
        <w:t xml:space="preserve">because they are not capable of engaging in </w:t>
      </w:r>
      <w:r w:rsidR="001D0AB1">
        <w:t xml:space="preserve">essential </w:t>
      </w:r>
      <w:r w:rsidR="00C3589B">
        <w:t>activities of daily living by themselves</w:t>
      </w:r>
      <w:r>
        <w:t xml:space="preserve">. Most such individuals also have Medicare (aged/disabled) coverage. If such people can live in the community with support, they may receive Medicaid support for long-term services through a </w:t>
      </w:r>
      <w:r w:rsidRPr="00D72CF3">
        <w:rPr>
          <w:b/>
          <w:bCs/>
        </w:rPr>
        <w:t>partial-cap</w:t>
      </w:r>
      <w:r>
        <w:rPr>
          <w:b/>
          <w:bCs/>
        </w:rPr>
        <w:t>itation</w:t>
      </w:r>
      <w:r>
        <w:t xml:space="preserve"> (MLTC) plan that covers only such services, while receiving medical coverage through Medicare (either fee-for-service or Medicare Advantage). They may also choose to join an </w:t>
      </w:r>
      <w:r w:rsidRPr="00D72CF3">
        <w:rPr>
          <w:b/>
          <w:bCs/>
        </w:rPr>
        <w:t>integrated</w:t>
      </w:r>
      <w:r>
        <w:t xml:space="preserve"> plan which includes both types of benefits (MAP or PACE). </w:t>
      </w:r>
    </w:p>
    <w:p w14:paraId="341C930D" w14:textId="3909DE0C" w:rsidR="00402F0A" w:rsidRDefault="00402F0A" w:rsidP="00402F0A">
      <w:pPr>
        <w:spacing w:before="120" w:after="120"/>
      </w:pPr>
      <w:r>
        <w:t xml:space="preserve">Because Medicaid covers many populations with special needs, it also offers services outside of typical medical coverage. These include residential and day programs for people with intellectual and developmental disabilities (I/DD), a population which remains almost entirely outside of managed care. New York Medicaid also covers a broad array of services for children in foster care and/or with special needs. </w:t>
      </w:r>
    </w:p>
    <w:p w14:paraId="142AAC6A" w14:textId="77777777" w:rsidR="005C7093" w:rsidRDefault="005C7093" w:rsidP="00402F0A">
      <w:pPr>
        <w:spacing w:before="120" w:after="120"/>
      </w:pPr>
    </w:p>
    <w:p w14:paraId="5BF67050" w14:textId="77777777" w:rsidR="005C7093" w:rsidRDefault="005C7093" w:rsidP="00402F0A">
      <w:pPr>
        <w:spacing w:before="120" w:after="120"/>
      </w:pPr>
    </w:p>
    <w:p w14:paraId="474226E6" w14:textId="77777777" w:rsidR="00402F0A" w:rsidRDefault="00402F0A" w:rsidP="00402F0A">
      <w:pPr>
        <w:pStyle w:val="Heading2"/>
      </w:pPr>
      <w:bookmarkStart w:id="3" w:name="_Toc207703999"/>
      <w:r>
        <w:t>Medicaid Reform Initiatives</w:t>
      </w:r>
      <w:bookmarkEnd w:id="3"/>
    </w:p>
    <w:p w14:paraId="4FDB22D7" w14:textId="77777777" w:rsidR="00402F0A" w:rsidRDefault="00402F0A" w:rsidP="00402F0A">
      <w:pPr>
        <w:spacing w:before="120" w:after="120"/>
      </w:pPr>
      <w:r>
        <w:lastRenderedPageBreak/>
        <w:t>In 2011, the first Medicaid Redesign Team (MRT) was convened to consider reforms to the Medicaid system. The MRT found that the NYS Medicaid system was seeing “runaway cost growth” even as New York had middling quality outcomes, including the lowest ranking of any state in the nation for avoidable hospitalizations. At the same time, New York’s health care ecosystem included a significant number of financially failing safety net hospitals and other institutions which needed support. This resulted in recurring disputes between stakeholders over responsibility for rising costs.</w:t>
      </w:r>
    </w:p>
    <w:p w14:paraId="24D4716B" w14:textId="77777777" w:rsidR="00402F0A" w:rsidRDefault="00402F0A" w:rsidP="00402F0A">
      <w:pPr>
        <w:spacing w:before="120" w:after="120"/>
      </w:pPr>
      <w:r>
        <w:t>The MRT sought to address these issues with a wide-ranging array of reforms, starting with the establishment of an annual limit on the growth of the state share of Medicaid—the Global Cap. The MRT intended to control costs by bringing managed care to all Medicaid populations, to create additional health system capacity through new care delivery models, and to align incentives across the system by encouraging the development of value-based payment (VBP) contracts.</w:t>
      </w:r>
    </w:p>
    <w:p w14:paraId="050FCB26" w14:textId="77777777" w:rsidR="00402F0A" w:rsidRDefault="00402F0A" w:rsidP="00402F0A">
      <w:pPr>
        <w:spacing w:before="120" w:after="120"/>
      </w:pPr>
      <w:r>
        <w:t xml:space="preserve">In 2014, New York received a new Section 1115 Medicaid waiver that included new investments through the Delivery System Reform Incentive Payment (DSRIP) program. DSRIP’s vision was to create integrated networks of providers that would build capacity for care management at all levels. Integrated provider networks would be equipped to participate in VBP arrangements, taking on shared risk on their Medicaid populations and aligning their incentives with those of their payers to achieve higher quality outcomes and lower costs. </w:t>
      </w:r>
    </w:p>
    <w:p w14:paraId="49F129E6" w14:textId="451B5300" w:rsidR="00402F0A" w:rsidRDefault="00402F0A" w:rsidP="00402F0A">
      <w:pPr>
        <w:spacing w:before="120" w:after="120"/>
      </w:pPr>
      <w:r>
        <w:t xml:space="preserve">The DSRIP component of the MRT waiver ended in March 2020, just as the first wave of the Covid-19 pandemic struck New York. Under the Biden administration, NYS sought and received approval for a new waiver, the New York Health Equity Reform (NYHER) waiver, intended to enable social needs screening and linkages to social services for all Medicaid enrollees. It also included funding for safety net hospitals, a workforce program, and statewide health data analysis. However, this waiver is scheduled to expire in April 2027 and is not expected to be renewed in its </w:t>
      </w:r>
      <w:r w:rsidR="001D0AB1">
        <w:t>existing</w:t>
      </w:r>
      <w:r>
        <w:t xml:space="preserve"> form by the current administration.</w:t>
      </w:r>
    </w:p>
    <w:p w14:paraId="43E14621" w14:textId="77777777" w:rsidR="00402F0A" w:rsidRDefault="00402F0A" w:rsidP="00402F0A">
      <w:pPr>
        <w:pStyle w:val="Heading1"/>
      </w:pPr>
      <w:bookmarkStart w:id="4" w:name="_Toc207704000"/>
      <w:r>
        <w:t>Managed Care and Care Management</w:t>
      </w:r>
      <w:bookmarkEnd w:id="4"/>
    </w:p>
    <w:p w14:paraId="344C3735" w14:textId="77777777" w:rsidR="00402F0A" w:rsidRPr="0028322B" w:rsidRDefault="00402F0A" w:rsidP="00402F0A">
      <w:pPr>
        <w:pStyle w:val="Heading2"/>
      </w:pPr>
      <w:bookmarkStart w:id="5" w:name="_Toc207704001"/>
      <w:r w:rsidRPr="003F7E22">
        <w:t>Medicaid</w:t>
      </w:r>
      <w:r>
        <w:t xml:space="preserve"> Managed Care Plans</w:t>
      </w:r>
      <w:bookmarkEnd w:id="5"/>
    </w:p>
    <w:p w14:paraId="6AEEB036" w14:textId="080AD510" w:rsidR="00402F0A" w:rsidRDefault="00402F0A" w:rsidP="00402F0A">
      <w:pPr>
        <w:spacing w:before="120" w:after="120"/>
      </w:pPr>
      <w:r>
        <w:t xml:space="preserve">Since 1997, NYS has mandated that most “mainstream” Medicaid beneficiaries—individuals without special needs—must enroll in a managed care plan. New York’s Medicaid managed care (MMC) plans are run by private </w:t>
      </w:r>
      <w:r w:rsidR="00CE188E">
        <w:t>managed care organizations (MCOs)</w:t>
      </w:r>
      <w:r w:rsidR="003217E1">
        <w:t>,</w:t>
      </w:r>
      <w:r>
        <w:t xml:space="preserve"> which may be for-profit or not-for-profit</w:t>
      </w:r>
      <w:r w:rsidR="00CE188E">
        <w:t>. They must have</w:t>
      </w:r>
      <w:r>
        <w:t xml:space="preserve"> a license under Article 44 of the Public Health Law, either as a health maintenance organization (HMO) or </w:t>
      </w:r>
      <w:r w:rsidR="00CE188E">
        <w:t xml:space="preserve">a </w:t>
      </w:r>
      <w:r>
        <w:t>prepaid health services plan (PHSP).</w:t>
      </w:r>
    </w:p>
    <w:p w14:paraId="61EAFE27" w14:textId="77777777" w:rsidR="00402F0A" w:rsidRDefault="00402F0A" w:rsidP="00402F0A">
      <w:r>
        <w:t xml:space="preserve">Mainstream MMC plans provide comprehensive health coverage, including coverage of all services approved in the Medicaid State Plan, to their enrollees. The NYS Department of Health (DOH) pays MMC plans a per-member, per-month (PMPM) capitation rate. Rate cells are divided by region, </w:t>
      </w:r>
      <w:r>
        <w:lastRenderedPageBreak/>
        <w:t xml:space="preserve">category of aid (most enrollees now qualify by income), age group, and maternity status. Capitations are further adjusted based on the acuity and claims history of the plan’s enrolled members. DOH uses the 3M Clinical Risk Group (CRG) system to perform risk adjustment. </w:t>
      </w:r>
    </w:p>
    <w:p w14:paraId="0F2505A6" w14:textId="77777777" w:rsidR="00402F0A" w:rsidRDefault="00402F0A" w:rsidP="00402F0A">
      <w:r>
        <w:t xml:space="preserve">MMC plans are also in the MMC Quality Incentive Program, which measures plan performance based on Quality Assurance Reporting Requirements (QARR), Prevention Quality Indicators (PQIs), and patient satisfaction surveys. </w:t>
      </w:r>
      <w:r w:rsidRPr="00D72CF3">
        <w:t>The program has been funded with supplemental state funds in past years.</w:t>
      </w:r>
    </w:p>
    <w:p w14:paraId="1A565EDD" w14:textId="73487A79" w:rsidR="00402F0A" w:rsidRPr="00BC7206" w:rsidRDefault="00402F0A" w:rsidP="00402F0A">
      <w:r w:rsidRPr="00BC7206">
        <w:t>As of 202</w:t>
      </w:r>
      <w:r w:rsidR="00BC7206">
        <w:t>5</w:t>
      </w:r>
      <w:r w:rsidRPr="00BC7206">
        <w:t>, the major populations that remain exempt or excluded from mainstream managed care are:</w:t>
      </w:r>
    </w:p>
    <w:p w14:paraId="7E82088B" w14:textId="77777777" w:rsidR="00402F0A" w:rsidRPr="00BC7206" w:rsidRDefault="00402F0A" w:rsidP="005D787B">
      <w:pPr>
        <w:pStyle w:val="ListParagraph"/>
        <w:numPr>
          <w:ilvl w:val="0"/>
          <w:numId w:val="22"/>
        </w:numPr>
      </w:pPr>
      <w:r w:rsidRPr="00BC7206">
        <w:t>Populations eligible for specialty managed care products (such as the long-term care population, individuals with serious mental illness, and individuals with HIV/AIDS);</w:t>
      </w:r>
    </w:p>
    <w:p w14:paraId="5D8EA88B" w14:textId="77777777" w:rsidR="00402F0A" w:rsidRDefault="00402F0A" w:rsidP="005D787B">
      <w:pPr>
        <w:pStyle w:val="ListParagraph"/>
        <w:numPr>
          <w:ilvl w:val="0"/>
          <w:numId w:val="22"/>
        </w:numPr>
      </w:pPr>
      <w:r w:rsidRPr="00BC7206">
        <w:t xml:space="preserve">Individuals dually eligible for Medicare and Medicaid; </w:t>
      </w:r>
    </w:p>
    <w:p w14:paraId="63A22012" w14:textId="777AEA8C" w:rsidR="003217E1" w:rsidRPr="00BC7206" w:rsidRDefault="003217E1" w:rsidP="005D787B">
      <w:pPr>
        <w:pStyle w:val="ListParagraph"/>
        <w:numPr>
          <w:ilvl w:val="0"/>
          <w:numId w:val="22"/>
        </w:numPr>
      </w:pPr>
      <w:r>
        <w:t>Individuals with comprehensive commercial insurance (Medicaid becomes secondary payer);</w:t>
      </w:r>
    </w:p>
    <w:p w14:paraId="44E4B37D" w14:textId="77777777" w:rsidR="00402F0A" w:rsidRPr="00BC7206" w:rsidRDefault="00402F0A" w:rsidP="005D787B">
      <w:pPr>
        <w:pStyle w:val="ListParagraph"/>
        <w:numPr>
          <w:ilvl w:val="0"/>
          <w:numId w:val="22"/>
        </w:numPr>
      </w:pPr>
      <w:r w:rsidRPr="00BC7206">
        <w:t>Individuals in the Traumatic Brain Injury (TBI) or Nursing Home Transition and Diversion (NHTD) 1915(c) waivers; and</w:t>
      </w:r>
    </w:p>
    <w:p w14:paraId="14C697D5" w14:textId="77777777" w:rsidR="00402F0A" w:rsidRPr="00BC7206" w:rsidRDefault="00402F0A" w:rsidP="005D787B">
      <w:pPr>
        <w:pStyle w:val="ListParagraph"/>
        <w:numPr>
          <w:ilvl w:val="0"/>
          <w:numId w:val="22"/>
        </w:numPr>
      </w:pPr>
      <w:r w:rsidRPr="00BC7206">
        <w:t>Individuals with I/DD.</w:t>
      </w:r>
    </w:p>
    <w:p w14:paraId="21BB7C8E" w14:textId="77777777" w:rsidR="00402F0A" w:rsidRPr="00BC7206" w:rsidRDefault="00402F0A" w:rsidP="00402F0A">
      <w:r w:rsidRPr="00BC7206">
        <w:t>Services that are entirely carved out of MMC include:</w:t>
      </w:r>
    </w:p>
    <w:p w14:paraId="30A61393" w14:textId="77777777" w:rsidR="00402F0A" w:rsidRPr="00BC7206" w:rsidRDefault="00402F0A" w:rsidP="005D787B">
      <w:pPr>
        <w:pStyle w:val="ListParagraph"/>
        <w:numPr>
          <w:ilvl w:val="0"/>
          <w:numId w:val="22"/>
        </w:numPr>
      </w:pPr>
      <w:r w:rsidRPr="00BC7206">
        <w:t>Pharmacy benefits (see “Pharmacy Carve-out” below);</w:t>
      </w:r>
    </w:p>
    <w:p w14:paraId="6E49CCE2" w14:textId="77777777" w:rsidR="00402F0A" w:rsidRPr="00BC7206" w:rsidRDefault="00402F0A" w:rsidP="005D787B">
      <w:pPr>
        <w:pStyle w:val="ListParagraph"/>
        <w:numPr>
          <w:ilvl w:val="0"/>
          <w:numId w:val="22"/>
        </w:numPr>
      </w:pPr>
      <w:r w:rsidRPr="00BC7206">
        <w:t>Non-emergency medical transportation services;</w:t>
      </w:r>
    </w:p>
    <w:p w14:paraId="2045FC2E" w14:textId="77777777" w:rsidR="00402F0A" w:rsidRPr="00BC7206" w:rsidRDefault="00402F0A" w:rsidP="005D787B">
      <w:pPr>
        <w:pStyle w:val="ListParagraph"/>
        <w:numPr>
          <w:ilvl w:val="0"/>
          <w:numId w:val="22"/>
        </w:numPr>
      </w:pPr>
      <w:r w:rsidRPr="00BC7206">
        <w:t>Certain services for children, such as school-based health centers (SBHCs), Early Intervention (EI) services, and School Supportive Health Services for children in special education; and</w:t>
      </w:r>
    </w:p>
    <w:p w14:paraId="37E830C7" w14:textId="77777777" w:rsidR="00402F0A" w:rsidRPr="00BC7206" w:rsidRDefault="00402F0A" w:rsidP="005D787B">
      <w:pPr>
        <w:pStyle w:val="ListParagraph"/>
        <w:numPr>
          <w:ilvl w:val="0"/>
          <w:numId w:val="22"/>
        </w:numPr>
      </w:pPr>
      <w:r w:rsidRPr="00BC7206">
        <w:t>Assisted Living Programs (ALPs).</w:t>
      </w:r>
    </w:p>
    <w:p w14:paraId="61A40162" w14:textId="77777777" w:rsidR="00402F0A" w:rsidRPr="00B92B58" w:rsidRDefault="00402F0A" w:rsidP="00402F0A">
      <w:r w:rsidRPr="00B92B58">
        <w:t>As of July 2025, there are 15 MMC plans (including 3 HIV SNPs) statewide. Over 4.4 million Medicaid beneficiaries are actively enrolled in MMC in New York, out of approximately 6.9 million total enrollees.</w:t>
      </w:r>
      <w:r w:rsidRPr="00B92B58">
        <w:rPr>
          <w:rStyle w:val="FootnoteReference"/>
        </w:rPr>
        <w:footnoteReference w:id="1"/>
      </w:r>
      <w:r w:rsidRPr="00B92B58">
        <w:t xml:space="preserve"> Mainstream enrollment in particular has declined due to the expiration of the federal continuous coverage requirement implemented during the Covid-19 pandemic and the subsequent redetermination process for Medicaid eligibility among current beneficiaries, but is still slightly above the pre-pandemic level (4.2 million in January 2020, out of a total of 6.1 million).</w:t>
      </w:r>
    </w:p>
    <w:p w14:paraId="6BD5E431" w14:textId="77777777" w:rsidR="00402F0A" w:rsidRDefault="00402F0A" w:rsidP="00402F0A">
      <w:pPr>
        <w:pStyle w:val="Heading3"/>
      </w:pPr>
      <w:bookmarkStart w:id="6" w:name="_Toc207704002"/>
      <w:r>
        <w:lastRenderedPageBreak/>
        <w:t>Pharmacy Carve-out</w:t>
      </w:r>
      <w:bookmarkEnd w:id="6"/>
    </w:p>
    <w:p w14:paraId="07A0129B" w14:textId="2B092723" w:rsidR="00402F0A" w:rsidRDefault="00402F0A" w:rsidP="00402F0A">
      <w:pPr>
        <w:spacing w:after="120"/>
      </w:pPr>
      <w:r>
        <w:t>After several delays, the State implemented the carve-out of the pharmacy benefit from Medicaid managed care</w:t>
      </w:r>
      <w:r w:rsidR="00161D04">
        <w:t>, making it</w:t>
      </w:r>
      <w:r>
        <w:t xml:space="preserve"> administrated on a fee-for-service (FFS) basis effective April 1, 2023. The carve-out was initially proposed by the second Medicaid Redesign Team (MRT II) in 2020. Medicaid managed care members now receive their prescription drugs through NYRx, the State’s pharmacy program that pays pharmacies directly for drugs and supplies provided to Medicaid beneficiaries. The change does not apply to managed long-term care plans (PACE, MAP, MLTC) or the Essential Plan.</w:t>
      </w:r>
    </w:p>
    <w:p w14:paraId="22F67FE1" w14:textId="77777777" w:rsidR="00402F0A" w:rsidRPr="0028322B" w:rsidRDefault="00402F0A" w:rsidP="00402F0A">
      <w:pPr>
        <w:pStyle w:val="Heading2"/>
      </w:pPr>
      <w:bookmarkStart w:id="7" w:name="_Toc207704003"/>
      <w:r>
        <w:t>Health Homes</w:t>
      </w:r>
      <w:bookmarkEnd w:id="7"/>
    </w:p>
    <w:p w14:paraId="65949DB9" w14:textId="77777777" w:rsidR="00402F0A" w:rsidRDefault="00402F0A" w:rsidP="00402F0A">
      <w:pPr>
        <w:spacing w:after="120"/>
      </w:pPr>
      <w:r>
        <w:t xml:space="preserve">A </w:t>
      </w:r>
      <w:hyperlink r:id="rId8" w:history="1">
        <w:r w:rsidRPr="00482EB9">
          <w:rPr>
            <w:rStyle w:val="Hyperlink"/>
          </w:rPr>
          <w:t>Health Home</w:t>
        </w:r>
      </w:hyperlink>
      <w:r>
        <w:t xml:space="preserve"> is a care management service model for Medicaid-eligible individuals with chronic health conditions. Under this model, a care coordinator, who may be employed directly by the Health Home or by a downstream contracted agency, creates enrollees’ plans of care, helps them access services, and coordinates treatment with all their caregivers. </w:t>
      </w:r>
    </w:p>
    <w:p w14:paraId="1173AAE3" w14:textId="77777777" w:rsidR="00402F0A" w:rsidRDefault="00402F0A" w:rsidP="00402F0A">
      <w:pPr>
        <w:spacing w:after="120"/>
      </w:pPr>
      <w:r>
        <w:t>Health Homes are required to provide the following six core services:</w:t>
      </w:r>
    </w:p>
    <w:p w14:paraId="1D6F706D" w14:textId="77777777" w:rsidR="00402F0A" w:rsidRDefault="00402F0A" w:rsidP="005D787B">
      <w:pPr>
        <w:pStyle w:val="ListParagraph"/>
        <w:numPr>
          <w:ilvl w:val="0"/>
          <w:numId w:val="11"/>
        </w:numPr>
        <w:spacing w:after="0" w:line="240" w:lineRule="auto"/>
      </w:pPr>
      <w:r>
        <w:t>Comprehensive Care Management</w:t>
      </w:r>
    </w:p>
    <w:p w14:paraId="5738D4A5" w14:textId="77777777" w:rsidR="00402F0A" w:rsidRDefault="00402F0A" w:rsidP="005D787B">
      <w:pPr>
        <w:pStyle w:val="ListParagraph"/>
        <w:numPr>
          <w:ilvl w:val="0"/>
          <w:numId w:val="11"/>
        </w:numPr>
        <w:spacing w:after="0" w:line="240" w:lineRule="auto"/>
      </w:pPr>
      <w:r>
        <w:t>Care Coordination and Health Promotion</w:t>
      </w:r>
    </w:p>
    <w:p w14:paraId="3A42AFFC" w14:textId="77777777" w:rsidR="00402F0A" w:rsidRDefault="00402F0A" w:rsidP="005D787B">
      <w:pPr>
        <w:pStyle w:val="ListParagraph"/>
        <w:numPr>
          <w:ilvl w:val="0"/>
          <w:numId w:val="11"/>
        </w:numPr>
        <w:spacing w:after="0" w:line="240" w:lineRule="auto"/>
      </w:pPr>
      <w:r>
        <w:t>Comprehensive Transitional Care</w:t>
      </w:r>
    </w:p>
    <w:p w14:paraId="2B661B8F" w14:textId="77777777" w:rsidR="00402F0A" w:rsidRDefault="00402F0A" w:rsidP="005D787B">
      <w:pPr>
        <w:pStyle w:val="ListParagraph"/>
        <w:numPr>
          <w:ilvl w:val="0"/>
          <w:numId w:val="11"/>
        </w:numPr>
        <w:spacing w:after="0" w:line="240" w:lineRule="auto"/>
      </w:pPr>
      <w:r>
        <w:t>Individual and Family Support Services</w:t>
      </w:r>
    </w:p>
    <w:p w14:paraId="073BFB98" w14:textId="77777777" w:rsidR="00402F0A" w:rsidRDefault="00402F0A" w:rsidP="005D787B">
      <w:pPr>
        <w:pStyle w:val="ListParagraph"/>
        <w:numPr>
          <w:ilvl w:val="0"/>
          <w:numId w:val="11"/>
        </w:numPr>
        <w:spacing w:after="0" w:line="240" w:lineRule="auto"/>
      </w:pPr>
      <w:r>
        <w:t>Referral to Community Supports</w:t>
      </w:r>
    </w:p>
    <w:p w14:paraId="232FA401" w14:textId="77777777" w:rsidR="00402F0A" w:rsidRDefault="00402F0A" w:rsidP="005D787B">
      <w:pPr>
        <w:pStyle w:val="ListParagraph"/>
        <w:numPr>
          <w:ilvl w:val="0"/>
          <w:numId w:val="11"/>
        </w:numPr>
        <w:spacing w:after="120" w:line="240" w:lineRule="auto"/>
      </w:pPr>
      <w:r>
        <w:t>Use of Health Information Technology to Link Services</w:t>
      </w:r>
    </w:p>
    <w:p w14:paraId="6265359C" w14:textId="14F593B7" w:rsidR="00BE09AE" w:rsidRDefault="00BE09AE" w:rsidP="00402F0A">
      <w:r>
        <w:t xml:space="preserve">To qualify for the monthly Health Home payment, providers must deliver at least one of the core services </w:t>
      </w:r>
      <w:r w:rsidR="00F22F9B">
        <w:t xml:space="preserve">per month </w:t>
      </w:r>
      <w:r>
        <w:t xml:space="preserve">to </w:t>
      </w:r>
      <w:r w:rsidR="00F22F9B">
        <w:t>the</w:t>
      </w:r>
      <w:r>
        <w:t xml:space="preserve"> enrolled member</w:t>
      </w:r>
      <w:r w:rsidR="002952F9">
        <w:t>.</w:t>
      </w:r>
    </w:p>
    <w:p w14:paraId="75B36D29" w14:textId="34E42FD3" w:rsidR="00402F0A" w:rsidRDefault="00402F0A" w:rsidP="00402F0A">
      <w:r>
        <w:t>Most of New York’s 23 Health Homes are collaborations between multiple organizations, which may include hospitals, community providers, health plans, and others. Health Homes receive a PMPM payment for each month in which they provide at least one core Health Home to the enrollee. Individuals in the long-term care population (receiving more than 120 days of LTSS) are excluded.</w:t>
      </w:r>
    </w:p>
    <w:p w14:paraId="7F6FC3F0" w14:textId="77777777" w:rsidR="00402F0A" w:rsidRDefault="00402F0A" w:rsidP="00402F0A">
      <w:pPr>
        <w:spacing w:before="120"/>
      </w:pPr>
      <w:r>
        <w:t>To receive Health Home services, adult Medicaid members must have one of the following:</w:t>
      </w:r>
    </w:p>
    <w:p w14:paraId="7DBCCCBD" w14:textId="77777777" w:rsidR="00402F0A" w:rsidRDefault="00402F0A" w:rsidP="005D787B">
      <w:pPr>
        <w:pStyle w:val="ListParagraph"/>
        <w:numPr>
          <w:ilvl w:val="0"/>
          <w:numId w:val="12"/>
        </w:numPr>
        <w:spacing w:before="120" w:after="0" w:line="240" w:lineRule="auto"/>
      </w:pPr>
      <w:r>
        <w:t xml:space="preserve">Two or more qualifying chronic conditions; </w:t>
      </w:r>
    </w:p>
    <w:p w14:paraId="4F0766EB" w14:textId="77777777" w:rsidR="00402F0A" w:rsidRDefault="00402F0A" w:rsidP="005D787B">
      <w:pPr>
        <w:pStyle w:val="ListParagraph"/>
        <w:numPr>
          <w:ilvl w:val="0"/>
          <w:numId w:val="12"/>
        </w:numPr>
        <w:spacing w:before="120" w:after="0" w:line="240" w:lineRule="auto"/>
      </w:pPr>
      <w:r>
        <w:t>HIV/AIDS;</w:t>
      </w:r>
    </w:p>
    <w:p w14:paraId="6A0433BD" w14:textId="77777777" w:rsidR="00402F0A" w:rsidRPr="00A525BC" w:rsidRDefault="00402F0A" w:rsidP="005D787B">
      <w:pPr>
        <w:pStyle w:val="ListParagraph"/>
        <w:numPr>
          <w:ilvl w:val="0"/>
          <w:numId w:val="12"/>
        </w:numPr>
        <w:spacing w:before="120" w:after="0" w:line="240" w:lineRule="auto"/>
      </w:pPr>
      <w:r w:rsidRPr="00A525BC">
        <w:t>Serious mental illness (SMI); or</w:t>
      </w:r>
    </w:p>
    <w:p w14:paraId="3E41C8DB" w14:textId="77777777" w:rsidR="00402F0A" w:rsidRPr="00A525BC" w:rsidRDefault="00402F0A" w:rsidP="005D787B">
      <w:pPr>
        <w:pStyle w:val="ListParagraph"/>
        <w:numPr>
          <w:ilvl w:val="0"/>
          <w:numId w:val="12"/>
        </w:numPr>
        <w:spacing w:before="120" w:after="0" w:line="240" w:lineRule="auto"/>
      </w:pPr>
      <w:r w:rsidRPr="00C67DF4">
        <w:t>Sickle Cell Disease.</w:t>
      </w:r>
      <w:r w:rsidRPr="00A525BC">
        <w:t xml:space="preserve"> </w:t>
      </w:r>
    </w:p>
    <w:p w14:paraId="7CC34250" w14:textId="77777777" w:rsidR="00402F0A" w:rsidRDefault="00402F0A" w:rsidP="00402F0A">
      <w:pPr>
        <w:spacing w:before="120"/>
      </w:pPr>
      <w:hyperlink r:id="rId9" w:history="1">
        <w:r w:rsidRPr="00CE4158">
          <w:rPr>
            <w:rStyle w:val="Hyperlink"/>
          </w:rPr>
          <w:t>Health Homes Serving Children</w:t>
        </w:r>
      </w:hyperlink>
      <w:r>
        <w:t xml:space="preserve"> provide the same core services as adult Health Homes, tailored to serve the needs of children and families. To receive Health Home services, children or youth under the age of 21 who are enrolled in Medicaid must have:</w:t>
      </w:r>
    </w:p>
    <w:p w14:paraId="69D3DF36" w14:textId="77777777" w:rsidR="00402F0A" w:rsidRDefault="00402F0A" w:rsidP="005D787B">
      <w:pPr>
        <w:pStyle w:val="ListParagraph"/>
        <w:numPr>
          <w:ilvl w:val="0"/>
          <w:numId w:val="13"/>
        </w:numPr>
        <w:spacing w:before="120" w:after="0" w:line="240" w:lineRule="auto"/>
      </w:pPr>
      <w:r>
        <w:lastRenderedPageBreak/>
        <w:t xml:space="preserve">Two or more qualifying chronic conditions; </w:t>
      </w:r>
    </w:p>
    <w:p w14:paraId="002706E5" w14:textId="77777777" w:rsidR="00402F0A" w:rsidRDefault="00402F0A" w:rsidP="005D787B">
      <w:pPr>
        <w:pStyle w:val="ListParagraph"/>
        <w:numPr>
          <w:ilvl w:val="0"/>
          <w:numId w:val="13"/>
        </w:numPr>
        <w:spacing w:before="120" w:after="0" w:line="240" w:lineRule="auto"/>
      </w:pPr>
      <w:r>
        <w:t xml:space="preserve">HIV/AIDS; </w:t>
      </w:r>
    </w:p>
    <w:p w14:paraId="74401E5C" w14:textId="77777777" w:rsidR="00402F0A" w:rsidRPr="003A71D9" w:rsidRDefault="00402F0A" w:rsidP="005D787B">
      <w:pPr>
        <w:pStyle w:val="ListParagraph"/>
        <w:numPr>
          <w:ilvl w:val="0"/>
          <w:numId w:val="13"/>
        </w:numPr>
        <w:spacing w:before="120" w:after="0" w:line="240" w:lineRule="auto"/>
      </w:pPr>
      <w:r w:rsidRPr="00C67DF4">
        <w:t>Sickle Cell Disease;</w:t>
      </w:r>
    </w:p>
    <w:p w14:paraId="5AD99ED7" w14:textId="77777777" w:rsidR="00402F0A" w:rsidRDefault="00402F0A" w:rsidP="005D787B">
      <w:pPr>
        <w:pStyle w:val="ListParagraph"/>
        <w:numPr>
          <w:ilvl w:val="0"/>
          <w:numId w:val="13"/>
        </w:numPr>
        <w:spacing w:before="120" w:after="0" w:line="240" w:lineRule="auto"/>
      </w:pPr>
      <w:r>
        <w:t>Severe Emotional Disturbance (SED); or</w:t>
      </w:r>
    </w:p>
    <w:p w14:paraId="69AF8A13" w14:textId="77777777" w:rsidR="00402F0A" w:rsidRDefault="00402F0A" w:rsidP="005D787B">
      <w:pPr>
        <w:pStyle w:val="ListParagraph"/>
        <w:numPr>
          <w:ilvl w:val="0"/>
          <w:numId w:val="13"/>
        </w:numPr>
        <w:spacing w:before="120" w:after="0" w:line="240" w:lineRule="auto"/>
      </w:pPr>
      <w:r>
        <w:t>Complex Trauma.</w:t>
      </w:r>
    </w:p>
    <w:p w14:paraId="0E50F14B" w14:textId="0240FB54" w:rsidR="00402F0A" w:rsidRDefault="00402F0A" w:rsidP="00402F0A">
      <w:pPr>
        <w:spacing w:before="120" w:after="120"/>
      </w:pPr>
      <w:r>
        <w:t xml:space="preserve">In July 2018, NYS expanded the Health Home model to serve individuals with I/DD through the establishment of specialized I/DD Health Homes, also known as Care Coordination Organizations (CCOs), which are described further under the OPWDD section of this </w:t>
      </w:r>
      <w:r w:rsidR="001E55CF">
        <w:t>document</w:t>
      </w:r>
      <w:r>
        <w:t xml:space="preserve">. Additionally, NYS added a list of qualifying I/DD chronic conditions to the Health Home criteria, which include conditions falling under Intellectual Disability, Cerebral Palsy, Epilepsy, Neurological Impairment, Familial Dysautonomia, Prader-Willi Syndrome, </w:t>
      </w:r>
      <w:r w:rsidR="00161D04">
        <w:t>and</w:t>
      </w:r>
      <w:r>
        <w:t xml:space="preserve"> Autism.</w:t>
      </w:r>
    </w:p>
    <w:p w14:paraId="52457D6C" w14:textId="77777777" w:rsidR="00402F0A" w:rsidRDefault="00402F0A" w:rsidP="00402F0A">
      <w:pPr>
        <w:spacing w:before="120" w:after="120"/>
      </w:pPr>
      <w:r>
        <w:t xml:space="preserve">Individuals with I/DD who choose to receive OPWDD HCBS waiver services must enroll in a CCO. However, individuals who are not eligible for or decline OPWDD HCBS may choose to enroll in standard Health Homes serving adults or children if they are eligible and meet Health Home appropriateness criteria. To be eligible, they must have an I/DD qualifying condition and also at least one other non-I/DD qualifying chronic condition. DOH guidance on this overlap is available </w:t>
      </w:r>
      <w:hyperlink r:id="rId10">
        <w:r w:rsidRPr="4025B322">
          <w:rPr>
            <w:rStyle w:val="Hyperlink"/>
          </w:rPr>
          <w:t>here</w:t>
        </w:r>
      </w:hyperlink>
      <w:r>
        <w:t>.</w:t>
      </w:r>
    </w:p>
    <w:p w14:paraId="4EE97465" w14:textId="77777777" w:rsidR="00402F0A" w:rsidRPr="004C0CC0" w:rsidRDefault="00402F0A" w:rsidP="00402F0A">
      <w:pPr>
        <w:spacing w:before="120" w:after="120"/>
      </w:pPr>
      <w:r>
        <w:t xml:space="preserve">Over the last several years, the State has implemented significant budget cuts to the Health Home program with the intention to restrict enrollment to higher-acuity individuals. Most recently, the Governor proposed in her Fiscal Year (FY) 2025 Executive Budget a broad “restructuring” of the Medicaid program for an estimated savings of $125 million, which was ultimately omitted from the final Enacted Budget following considerable pushback from stakeholders. Changes to the structure of the program have also been implemented through the State’s budget process, including an initiative to “graduate out” low and medium-acuity Health Home enrollees who “have had long-term enrollment.” New York’s aim is to provide other, lower-cost options for low-acuity care coordination, such as the Community Health Worker (CHW) benefit and social care navigation through the NYHER waiver. </w:t>
      </w:r>
    </w:p>
    <w:p w14:paraId="6D233090" w14:textId="77777777" w:rsidR="00402F0A" w:rsidRDefault="00402F0A" w:rsidP="00402F0A">
      <w:pPr>
        <w:pStyle w:val="Heading2"/>
      </w:pPr>
      <w:bookmarkStart w:id="8" w:name="_Toc207704004"/>
      <w:r>
        <w:t>Provider-Based Care Management</w:t>
      </w:r>
      <w:bookmarkEnd w:id="8"/>
    </w:p>
    <w:p w14:paraId="7A0AF766" w14:textId="77777777" w:rsidR="00402F0A" w:rsidRPr="00CB395B" w:rsidRDefault="00402F0A" w:rsidP="00402F0A">
      <w:pPr>
        <w:pStyle w:val="Heading3"/>
      </w:pPr>
      <w:bookmarkStart w:id="9" w:name="_Toc207704005"/>
      <w:r w:rsidRPr="00CB395B">
        <w:t>NYS Patient-Centered Medical Home (PCMH)</w:t>
      </w:r>
      <w:bookmarkEnd w:id="9"/>
    </w:p>
    <w:p w14:paraId="2E0C8B8A" w14:textId="4D0E19EE" w:rsidR="00FA64BB" w:rsidRDefault="00402F0A" w:rsidP="00402F0A">
      <w:pPr>
        <w:spacing w:before="120" w:after="120"/>
      </w:pPr>
      <w:r>
        <w:t xml:space="preserve">The </w:t>
      </w:r>
      <w:hyperlink r:id="rId11" w:history="1">
        <w:r w:rsidRPr="00D27378">
          <w:rPr>
            <w:rStyle w:val="Hyperlink"/>
          </w:rPr>
          <w:t>Patient-Centered Medical Home (PCMH)</w:t>
        </w:r>
      </w:hyperlink>
      <w:r>
        <w:t xml:space="preserve"> is a primary care model under which the PCMH practice’s primary care team is responsible for managing a patient’s full spectrum of health care needs. PCMHs are expected to provide for the patient’s primary health care needs and to provide care coordination for other required services that cannot be delivered in a primary care setting. </w:t>
      </w:r>
      <w:r w:rsidR="0077689B">
        <w:t xml:space="preserve">While PCMH and Health Home </w:t>
      </w:r>
      <w:r w:rsidR="004159AC">
        <w:t xml:space="preserve">share goals related </w:t>
      </w:r>
      <w:r w:rsidR="0055150B">
        <w:t>to</w:t>
      </w:r>
      <w:r w:rsidR="004159AC">
        <w:t xml:space="preserve"> care coordination and improving outcomes, </w:t>
      </w:r>
      <w:r w:rsidR="009D244B">
        <w:t xml:space="preserve">they are distinct models. </w:t>
      </w:r>
      <w:r w:rsidR="004159AC">
        <w:t xml:space="preserve">PCMH is distinct </w:t>
      </w:r>
      <w:r w:rsidR="002C5491">
        <w:t>physician-led and focused on primary care</w:t>
      </w:r>
      <w:r w:rsidR="00E21F91">
        <w:t xml:space="preserve"> transformation</w:t>
      </w:r>
      <w:r w:rsidR="002C5491">
        <w:t xml:space="preserve">, while the Health Home </w:t>
      </w:r>
      <w:r w:rsidR="007D7CE3">
        <w:t>model builds</w:t>
      </w:r>
      <w:r w:rsidR="002C5491">
        <w:t xml:space="preserve"> on the traditional medical home </w:t>
      </w:r>
      <w:r w:rsidR="001F4B43">
        <w:t xml:space="preserve">by connecting members to behavioral health, community, and social supports, with a particular focus on </w:t>
      </w:r>
      <w:r w:rsidR="001F4B43">
        <w:lastRenderedPageBreak/>
        <w:t>individuals with multiple chronic conditions.</w:t>
      </w:r>
      <w:r w:rsidR="00631159">
        <w:t xml:space="preserve"> </w:t>
      </w:r>
      <w:r w:rsidR="0082740C">
        <w:t>Medicaid beneficiaries may receive services from both a Health Home and a PCMH at the same time, and reimbursement is permitted for each. In some cases, a PCMH may also be a designated Health Home.</w:t>
      </w:r>
    </w:p>
    <w:p w14:paraId="5B2A29B9" w14:textId="482B6CA5" w:rsidR="00402F0A" w:rsidRPr="00F27381" w:rsidRDefault="00FA64BB" w:rsidP="00402F0A">
      <w:pPr>
        <w:spacing w:before="120" w:after="120"/>
      </w:pPr>
      <w:r>
        <w:t xml:space="preserve">PCMHs </w:t>
      </w:r>
      <w:r w:rsidR="00402F0A">
        <w:t>are held accountable for a set of quality measures and must achieve meaningful use of electronic health records (EHRs). Nationally, the PCMH standards are maintained and PCMH practice certifications are issued by the National Committee for Quality Assurance (NCQA).</w:t>
      </w:r>
      <w:r w:rsidR="00F7684B">
        <w:t xml:space="preserve"> </w:t>
      </w:r>
      <w:r w:rsidR="00402F0A">
        <w:t>NYS PCMH recognition is open to all primary care practices in NYS. To maintain NYS PCMH recognition, practices must undergo an annual reporting process and pay NCQA an annual reporting fee.</w:t>
      </w:r>
    </w:p>
    <w:p w14:paraId="7B8F7E90" w14:textId="77777777" w:rsidR="00402F0A" w:rsidRDefault="00402F0A" w:rsidP="00402F0A">
      <w:pPr>
        <w:spacing w:before="120" w:after="120"/>
      </w:pPr>
      <w:r>
        <w:t xml:space="preserve">Providers that achieve PCMH recognition may receive additional incentive payments for services provided to Medicaid or Child Health Plus (CHP) enrollees. For MMC and CHP members, plans pay PCMH practices a monthly add-on payment (currently $6 PMPM base level). For Medicaid FFS members, eMedNY provides a per-claim supplemental payment (currently $29 for professional claims and $25.25 for institutional claims). Statewide, </w:t>
      </w:r>
      <w:r w:rsidRPr="00B17ED7">
        <w:t>as</w:t>
      </w:r>
      <w:r w:rsidRPr="00B17ED7" w:rsidDel="00B17ED7">
        <w:t xml:space="preserve"> </w:t>
      </w:r>
      <w:r w:rsidRPr="00425962">
        <w:t>of June 2023, there were 2,171 practices with 8,976 providers recognized as PCMH in New York.</w:t>
      </w:r>
    </w:p>
    <w:p w14:paraId="4AF74AC8" w14:textId="09EAE889" w:rsidR="00402F0A" w:rsidRPr="00425962" w:rsidRDefault="00402F0A" w:rsidP="00402F0A">
      <w:pPr>
        <w:spacing w:before="120" w:after="120"/>
      </w:pPr>
      <w:r>
        <w:t xml:space="preserve">As part of NYS’s agreement with CMS for the new NYHER waiver, New York agreed to increase PCMH payments from $6 PMPM to $8 PMPM. The State implemented this change in 2025, contingent on practices attesting to participation in a Social Care Network (SCN) under the NYHER waiver. </w:t>
      </w:r>
      <w:r w:rsidR="006A5656" w:rsidRPr="006A5656">
        <w:t>To continue incentivizing quality improvement within the PCMH program, DOH intends to tie the incentive enhancement payment to quality</w:t>
      </w:r>
      <w:r w:rsidR="00477169">
        <w:t xml:space="preserve"> metrics</w:t>
      </w:r>
      <w:r w:rsidR="006A5656" w:rsidRPr="006A5656">
        <w:t xml:space="preserve"> in upcoming years</w:t>
      </w:r>
      <w:r w:rsidR="006A5656">
        <w:t>.</w:t>
      </w:r>
    </w:p>
    <w:p w14:paraId="0BFCA6DD" w14:textId="77777777" w:rsidR="00402F0A" w:rsidRPr="00CB395B" w:rsidRDefault="00402F0A" w:rsidP="00402F0A">
      <w:pPr>
        <w:pStyle w:val="Heading3"/>
      </w:pPr>
      <w:bookmarkStart w:id="10" w:name="_Toc207704006"/>
      <w:r w:rsidRPr="00CB395B">
        <w:t>Accountable Care Organizations</w:t>
      </w:r>
      <w:r>
        <w:t xml:space="preserve"> (ACOs)</w:t>
      </w:r>
      <w:bookmarkEnd w:id="10"/>
    </w:p>
    <w:p w14:paraId="769A1558" w14:textId="256CACC2" w:rsidR="00402F0A" w:rsidRDefault="00402F0A" w:rsidP="00402F0A">
      <w:pPr>
        <w:spacing w:before="120" w:after="120"/>
        <w:rPr>
          <w:color w:val="000000"/>
        </w:rPr>
      </w:pPr>
      <w:r>
        <w:rPr>
          <w:color w:val="000000"/>
        </w:rPr>
        <w:t>In 2014, New York passed legislation to define and create a certification process for “accountable care organizations.” Under this legislation,</w:t>
      </w:r>
      <w:r w:rsidR="00EA1282">
        <w:rPr>
          <w:color w:val="000000"/>
        </w:rPr>
        <w:t xml:space="preserve"> state-designated</w:t>
      </w:r>
      <w:r>
        <w:rPr>
          <w:color w:val="000000"/>
        </w:rPr>
        <w:t xml:space="preserve"> </w:t>
      </w:r>
      <w:hyperlink r:id="rId12" w:history="1">
        <w:r w:rsidRPr="003D427C">
          <w:rPr>
            <w:rStyle w:val="Hyperlink"/>
          </w:rPr>
          <w:t>Accountable Car</w:t>
        </w:r>
        <w:r w:rsidR="00EA1282">
          <w:rPr>
            <w:rStyle w:val="Hyperlink"/>
          </w:rPr>
          <w:t>e</w:t>
        </w:r>
        <w:r w:rsidRPr="003D427C">
          <w:rPr>
            <w:rStyle w:val="Hyperlink"/>
          </w:rPr>
          <w:t xml:space="preserve"> Organization</w:t>
        </w:r>
        <w:r>
          <w:rPr>
            <w:rStyle w:val="Hyperlink"/>
          </w:rPr>
          <w:t>s</w:t>
        </w:r>
        <w:r w:rsidRPr="003D427C">
          <w:rPr>
            <w:rStyle w:val="Hyperlink"/>
          </w:rPr>
          <w:t xml:space="preserve"> (ACO</w:t>
        </w:r>
        <w:r>
          <w:rPr>
            <w:rStyle w:val="Hyperlink"/>
          </w:rPr>
          <w:t>s</w:t>
        </w:r>
        <w:r w:rsidRPr="003D427C">
          <w:rPr>
            <w:rStyle w:val="Hyperlink"/>
          </w:rPr>
          <w:t>)</w:t>
        </w:r>
      </w:hyperlink>
      <w:r>
        <w:rPr>
          <w:color w:val="000000"/>
        </w:rPr>
        <w:t xml:space="preserve"> are regulated under Section 2999-p of the Public Health Law. The ACO model was intended in part to be a sustainability avenue for Performing Provider Systems (PPSs) under the DSRIP program to become integrated provider networks. However, this legislation has not been revisited since, and no new ACOs have been designated since 2019. The program is unlikely to be reactivated soon. </w:t>
      </w:r>
    </w:p>
    <w:p w14:paraId="1031BF7E" w14:textId="6A6111A3" w:rsidR="00402F0A" w:rsidRPr="00C21E73" w:rsidRDefault="00402F0A" w:rsidP="00402F0A">
      <w:pPr>
        <w:spacing w:before="120" w:after="120"/>
        <w:rPr>
          <w:color w:val="000000"/>
        </w:rPr>
      </w:pPr>
      <w:r>
        <w:t xml:space="preserve">Under New York law, ACOs are one of the types of entity that may enter risk-based contracts with third-party health care payers, including Article 42, 43, and 44 insurers. </w:t>
      </w:r>
      <w:r>
        <w:rPr>
          <w:color w:val="000000"/>
        </w:rPr>
        <w:t xml:space="preserve">DOH may issue an ACO Certificate of Authority to an entity that meets the State’s criteria to operate as an ACO. ACOs designated by CMS, such as through the Medicare Shared Savings Program (MSSP), are eligible to receive a Certificate of Authority from DOH through an expedited process as “Medicare-only ACOs.” Medicare-only ACOs taking on downside risk of more than 10 percent are subject to a reserve requirement of 25 percent of their maximum loss. </w:t>
      </w:r>
    </w:p>
    <w:p w14:paraId="5F8BF540" w14:textId="77777777" w:rsidR="00402F0A" w:rsidRPr="00E9721F" w:rsidRDefault="00402F0A" w:rsidP="00402F0A">
      <w:pPr>
        <w:pStyle w:val="Heading3"/>
      </w:pPr>
      <w:bookmarkStart w:id="11" w:name="_Toc207704007"/>
      <w:r w:rsidRPr="00E9721F">
        <w:lastRenderedPageBreak/>
        <w:t>Independent Practice Associations</w:t>
      </w:r>
      <w:r>
        <w:t xml:space="preserve"> (IPAs)</w:t>
      </w:r>
      <w:bookmarkEnd w:id="11"/>
    </w:p>
    <w:p w14:paraId="174C8619" w14:textId="77777777" w:rsidR="00402F0A" w:rsidRDefault="00402F0A" w:rsidP="00402F0A">
      <w:pPr>
        <w:spacing w:before="120" w:after="120"/>
      </w:pPr>
      <w:r>
        <w:t>An Independent Practice Association (IPA) is a special purpose legal entity formed to enable a group of health care providers to jointly contract with MCOs or other payers. IPAs may be owned and organized by one or more physicians, providers, practices, medical groups, health systems, or Federally Qualified Health Centers (FQHCs).</w:t>
      </w:r>
      <w:r w:rsidRPr="00DE454D">
        <w:rPr>
          <w:sz w:val="32"/>
          <w:szCs w:val="32"/>
        </w:rPr>
        <w:t xml:space="preserve"> </w:t>
      </w:r>
      <w:r>
        <w:t>IPAs may be formed as a business corporation, not-for-profit, or LLC and must receive approval from DOH. The IPA structure is intended to allow independent entities to collectively participate in value-based payment arrangements and perform population health functions.</w:t>
      </w:r>
    </w:p>
    <w:p w14:paraId="6DC12B7F" w14:textId="77777777" w:rsidR="00402F0A" w:rsidRDefault="00402F0A" w:rsidP="00402F0A">
      <w:pPr>
        <w:spacing w:before="120" w:after="120"/>
      </w:pPr>
      <w:r>
        <w:t>An IPA is permitted to jointly</w:t>
      </w:r>
      <w:r w:rsidRPr="00DE454D">
        <w:t xml:space="preserve"> negotiate contracts with payors on behalf of </w:t>
      </w:r>
      <w:r>
        <w:t>the IPA network. The IPA entity may hold an “</w:t>
      </w:r>
      <w:r w:rsidRPr="00DE454D">
        <w:t xml:space="preserve">upstream” </w:t>
      </w:r>
      <w:r>
        <w:t xml:space="preserve">contract </w:t>
      </w:r>
      <w:r w:rsidRPr="00DE454D">
        <w:t xml:space="preserve">with </w:t>
      </w:r>
      <w:r>
        <w:t>an MCO</w:t>
      </w:r>
      <w:r w:rsidRPr="00DE454D">
        <w:t xml:space="preserve"> </w:t>
      </w:r>
      <w:r>
        <w:t>while executing</w:t>
      </w:r>
      <w:r w:rsidRPr="00DE454D">
        <w:t xml:space="preserve"> “downstream” contracts with independent physicians</w:t>
      </w:r>
      <w:r>
        <w:t xml:space="preserve"> and </w:t>
      </w:r>
      <w:r w:rsidRPr="00DE454D">
        <w:t>other community providers</w:t>
      </w:r>
      <w:r>
        <w:t>,</w:t>
      </w:r>
      <w:r w:rsidRPr="00DE454D">
        <w:t xml:space="preserve"> such as </w:t>
      </w:r>
      <w:r>
        <w:t>behavioral health providers</w:t>
      </w:r>
      <w:r w:rsidRPr="00DE454D">
        <w:t xml:space="preserve"> and </w:t>
      </w:r>
      <w:r>
        <w:t xml:space="preserve">community-based organizations, to provide services to the MCO’s enrollees. </w:t>
      </w:r>
      <w:r w:rsidRPr="00DE454D">
        <w:t xml:space="preserve"> </w:t>
      </w:r>
    </w:p>
    <w:p w14:paraId="26AE8CBE" w14:textId="5EE58B07" w:rsidR="00402F0A" w:rsidRPr="00DE454D" w:rsidRDefault="00402F0A" w:rsidP="00402F0A">
      <w:pPr>
        <w:spacing w:before="120" w:after="120"/>
      </w:pPr>
      <w:r>
        <w:t xml:space="preserve">However, </w:t>
      </w:r>
      <w:r w:rsidR="006C6512">
        <w:t xml:space="preserve">to do so </w:t>
      </w:r>
      <w:r>
        <w:t xml:space="preserve">IPAs must demonstrate a degree of financial and/or clinical integration among their network members to comply with antitrust law. </w:t>
      </w:r>
      <w:r w:rsidR="006C6512">
        <w:t xml:space="preserve">Through a negotiated contract with an MCO, IPAs may take on shared risk and be responsible for administrative functions. </w:t>
      </w:r>
      <w:r>
        <w:t>IPAs may also be formed using a “messenger model,” in which the IPA serves as a</w:t>
      </w:r>
      <w:r w:rsidR="00A70058">
        <w:t xml:space="preserve"> communication</w:t>
      </w:r>
      <w:r>
        <w:t xml:space="preserve"> intermediary between providers and MCOs without jointly negotiating their contracts. </w:t>
      </w:r>
    </w:p>
    <w:p w14:paraId="115A1431" w14:textId="77777777" w:rsidR="00402F0A" w:rsidRPr="00453B87" w:rsidRDefault="00402F0A" w:rsidP="00402F0A">
      <w:pPr>
        <w:pStyle w:val="Heading1"/>
      </w:pPr>
      <w:bookmarkStart w:id="12" w:name="_Toc207704008"/>
      <w:r w:rsidRPr="00453B87">
        <w:t>Behavioral Health Transformation</w:t>
      </w:r>
      <w:bookmarkEnd w:id="12"/>
    </w:p>
    <w:p w14:paraId="47C553FF" w14:textId="77777777" w:rsidR="00402F0A" w:rsidRDefault="00402F0A" w:rsidP="00402F0A">
      <w:pPr>
        <w:spacing w:before="120" w:after="120"/>
      </w:pPr>
      <w:r w:rsidRPr="00590BC3">
        <w:t xml:space="preserve">New York licenses and funds a system of specialty behavioral health (BH) services, including inpatient psychiatric hospitals and residential facilities and outpatient clinics. Under state law, licensed BH providers typically receive enhanced and/or government-mandated minimum rates from Medicaid. This is a holdover from the previous fee-for-service reimbursement system for such facilities. When these services first began being carved into the Medicaid managed care benefit, New York continued the government rates. </w:t>
      </w:r>
      <w:r>
        <w:t xml:space="preserve">As of 2023, these BH services have also been carved into the </w:t>
      </w:r>
      <w:r w:rsidRPr="00590BC3">
        <w:t>Medicaid Advantage Plus (MAP) benefit package.</w:t>
      </w:r>
    </w:p>
    <w:p w14:paraId="78344050" w14:textId="77777777" w:rsidR="00402F0A" w:rsidRPr="00590BC3" w:rsidRDefault="00402F0A" w:rsidP="00402F0A">
      <w:pPr>
        <w:spacing w:before="120" w:after="120"/>
      </w:pPr>
      <w:r w:rsidRPr="00590BC3">
        <w:t>Although these enhanced rates are nominally temporary, they have been extended multiple times since then, most recently through March 2027. In the FY 2025 budget, the State also extended this minimum rate mandate to commercial insurers, who must pay a rate not less than the Medicaid rate as of April 1st of the previous year (as established by October 1st of that year).</w:t>
      </w:r>
    </w:p>
    <w:p w14:paraId="079445BC" w14:textId="77777777" w:rsidR="00402F0A" w:rsidRPr="001966BE" w:rsidRDefault="00402F0A" w:rsidP="00402F0A">
      <w:pPr>
        <w:pStyle w:val="Heading2"/>
      </w:pPr>
      <w:bookmarkStart w:id="13" w:name="_Toc207704009"/>
      <w:r w:rsidRPr="001966BE">
        <w:t>Health and Recovery Plans (HARPs)</w:t>
      </w:r>
      <w:bookmarkEnd w:id="13"/>
    </w:p>
    <w:p w14:paraId="5E43FCC2" w14:textId="4BC4CB4B" w:rsidR="00402F0A" w:rsidRPr="00564966" w:rsidRDefault="00402F0A" w:rsidP="00402F0A">
      <w:pPr>
        <w:spacing w:before="120" w:after="120"/>
      </w:pPr>
      <w:r w:rsidRPr="00564966">
        <w:t>A</w:t>
      </w:r>
      <w:r w:rsidRPr="001D4BC7">
        <w:rPr>
          <w:color w:val="000000"/>
        </w:rPr>
        <w:t xml:space="preserve"> </w:t>
      </w:r>
      <w:hyperlink r:id="rId13" w:history="1">
        <w:r w:rsidRPr="001D4BC7">
          <w:rPr>
            <w:color w:val="0000FF"/>
            <w:u w:val="single"/>
          </w:rPr>
          <w:t>Health and Recovery Plan (HARP)</w:t>
        </w:r>
      </w:hyperlink>
      <w:r w:rsidRPr="001D4BC7">
        <w:rPr>
          <w:color w:val="000000"/>
        </w:rPr>
        <w:t xml:space="preserve"> </w:t>
      </w:r>
      <w:r w:rsidRPr="00564966">
        <w:t xml:space="preserve">is a specialized managed care plan for people with significant </w:t>
      </w:r>
      <w:r w:rsidR="008E57A6" w:rsidRPr="00564966">
        <w:t>behavioral health or substance use</w:t>
      </w:r>
      <w:r w:rsidRPr="00564966">
        <w:t xml:space="preserve"> challenges. In addition to the comprehensive MMC physical and behavioral health benefit package, HARPs include an array of additional community-based </w:t>
      </w:r>
      <w:r w:rsidRPr="00564966">
        <w:lastRenderedPageBreak/>
        <w:t xml:space="preserve">specialty BH services (see below on “BH HCBS” and “CORE Services”) and HARP beneficiaries are eligible for care management to help coordinate health care and support needs.  </w:t>
      </w:r>
    </w:p>
    <w:p w14:paraId="714498E8" w14:textId="7E828FCA" w:rsidR="00402F0A" w:rsidRPr="00564966" w:rsidRDefault="00402F0A" w:rsidP="00402F0A">
      <w:pPr>
        <w:spacing w:before="120" w:after="120"/>
      </w:pPr>
      <w:r w:rsidRPr="00564966">
        <w:t xml:space="preserve">Medicaid beneficiaries who are over 21 and eligible for MMC may qualify for HARPs if they have a serious mental illness (SMI) or </w:t>
      </w:r>
      <w:r w:rsidR="005B63D7" w:rsidRPr="00564966">
        <w:t>substance use disorder (</w:t>
      </w:r>
      <w:r w:rsidRPr="00564966">
        <w:t>SUD</w:t>
      </w:r>
      <w:r w:rsidR="005B63D7" w:rsidRPr="00564966">
        <w:t>)</w:t>
      </w:r>
      <w:r w:rsidRPr="00564966">
        <w:t xml:space="preserve"> diagnosis. However, the following populations are excluded:</w:t>
      </w:r>
    </w:p>
    <w:p w14:paraId="6FAAF4D7" w14:textId="6C14664D" w:rsidR="00402F0A" w:rsidRPr="00564966" w:rsidRDefault="00402F0A" w:rsidP="005D787B">
      <w:pPr>
        <w:pStyle w:val="ListParagraph"/>
        <w:numPr>
          <w:ilvl w:val="0"/>
          <w:numId w:val="14"/>
        </w:numPr>
        <w:spacing w:before="120" w:after="120" w:line="240" w:lineRule="auto"/>
      </w:pPr>
      <w:r w:rsidRPr="00564966">
        <w:t xml:space="preserve">Individuals enrolled </w:t>
      </w:r>
      <w:r w:rsidR="00A12C37" w:rsidRPr="00564966">
        <w:t xml:space="preserve">in </w:t>
      </w:r>
      <w:r w:rsidRPr="00564966">
        <w:t>OPWDD programs; and</w:t>
      </w:r>
    </w:p>
    <w:p w14:paraId="0C7FBFFD" w14:textId="77777777" w:rsidR="00402F0A" w:rsidRPr="00564966" w:rsidRDefault="00402F0A" w:rsidP="005D787B">
      <w:pPr>
        <w:pStyle w:val="ListParagraph"/>
        <w:numPr>
          <w:ilvl w:val="0"/>
          <w:numId w:val="14"/>
        </w:numPr>
        <w:spacing w:before="120" w:after="120" w:line="240" w:lineRule="auto"/>
      </w:pPr>
      <w:r w:rsidRPr="00564966">
        <w:t>Individuals participating in the TBI or NHTD 1915(c) waivers.</w:t>
      </w:r>
    </w:p>
    <w:p w14:paraId="1BF50555" w14:textId="46B7DE15" w:rsidR="00402F0A" w:rsidRPr="00564966" w:rsidRDefault="00402F0A" w:rsidP="00402F0A">
      <w:pPr>
        <w:spacing w:before="120" w:after="120"/>
      </w:pPr>
      <w:r w:rsidRPr="00564966">
        <w:t xml:space="preserve">Previously, individuals dually eligible for Medicare and Medicaid were also excluded from HARP enrollment. However, effective April 1, 2021, NYS implemented the Integrated Benefit for Dually Eligible Enrollees (IB-Duals) process, which allows enrollment in an integrated Medicare </w:t>
      </w:r>
      <w:r w:rsidR="00C3050E" w:rsidRPr="00564966">
        <w:t>Dual Special Needs Plan (</w:t>
      </w:r>
      <w:r w:rsidRPr="00564966">
        <w:t>D-SNP</w:t>
      </w:r>
      <w:r w:rsidR="00C3050E" w:rsidRPr="00564966">
        <w:t>)</w:t>
      </w:r>
      <w:r w:rsidRPr="00564966">
        <w:t xml:space="preserve"> and HARP. IB-Duals enrollment is possible in either “direction” (from Medicare or from Medicaid):</w:t>
      </w:r>
    </w:p>
    <w:p w14:paraId="21DA5F1A" w14:textId="77777777" w:rsidR="00402F0A" w:rsidRPr="00564966" w:rsidRDefault="00402F0A" w:rsidP="005D787B">
      <w:pPr>
        <w:pStyle w:val="ListParagraph"/>
        <w:numPr>
          <w:ilvl w:val="0"/>
          <w:numId w:val="14"/>
        </w:numPr>
        <w:spacing w:before="120" w:after="120" w:line="240" w:lineRule="auto"/>
      </w:pPr>
      <w:r w:rsidRPr="00564966">
        <w:t xml:space="preserve">Upon gaining Medicare eligibility, individuals already in a HARP plan that offers IB-Duals are automatically enrolled in the aligned D-SNP. </w:t>
      </w:r>
    </w:p>
    <w:p w14:paraId="517F3E63" w14:textId="77777777" w:rsidR="00402F0A" w:rsidRPr="00564966" w:rsidRDefault="00402F0A" w:rsidP="005D787B">
      <w:pPr>
        <w:pStyle w:val="ListParagraph"/>
        <w:numPr>
          <w:ilvl w:val="0"/>
          <w:numId w:val="14"/>
        </w:numPr>
        <w:spacing w:before="120" w:after="120" w:line="240" w:lineRule="auto"/>
      </w:pPr>
      <w:r w:rsidRPr="00564966">
        <w:t>Individuals in a D-SNP plan whose issuer offers an aligned HARP IB-Duals product may voluntarily enroll into that IB-Duals HARP plan for their Medicaid benefit, if that issuer allows it. Five plans allow this transition currently (Anthem, Excellus, Fidelis, MetroPlus, and UnitedHealthcare).</w:t>
      </w:r>
    </w:p>
    <w:p w14:paraId="198942EB" w14:textId="77777777" w:rsidR="00402F0A" w:rsidRPr="00564966" w:rsidRDefault="00402F0A" w:rsidP="00402F0A">
      <w:pPr>
        <w:spacing w:before="120" w:after="120"/>
      </w:pPr>
      <w:r w:rsidRPr="00564966">
        <w:t>Nine HARP plans are currently participating in IB-Duals for HARP as of 2025 (Anthem, EmblemHealth, Excellus, Fidelis, Healthfirst, MetroPlus, Molina, MVP, and UnitedHealthcare).</w:t>
      </w:r>
    </w:p>
    <w:p w14:paraId="41D8FAE0" w14:textId="77777777" w:rsidR="00402F0A" w:rsidRPr="009B0C7B" w:rsidRDefault="00402F0A" w:rsidP="00402F0A">
      <w:pPr>
        <w:spacing w:before="120" w:after="120"/>
      </w:pPr>
      <w:r w:rsidRPr="009B0C7B">
        <w:t>To determine eligibility for HARP, the State automatically identifies individuals meeting the BH high-risk eligibility criteria through bi-monthly Medicaid data reviews. The State does not currently have any other processes to approve eligibility for individuals not identified through these data reviews.</w:t>
      </w:r>
    </w:p>
    <w:p w14:paraId="3C1D447C" w14:textId="77777777" w:rsidR="00402F0A" w:rsidRPr="009B0C7B" w:rsidRDefault="00402F0A" w:rsidP="00402F0A">
      <w:pPr>
        <w:spacing w:before="120" w:after="120"/>
      </w:pPr>
      <w:r w:rsidRPr="009B0C7B">
        <w:t>Individuals who are deemed to be HARP-eligible are offered enrollment in a Health Home. The Health Home will conduct a functional assessment to determine a service plan. HARPs also contract with Health Homes to provide the care management function to HARP enrollees. </w:t>
      </w:r>
    </w:p>
    <w:p w14:paraId="49D90C1C" w14:textId="6E7AAAB2" w:rsidR="00402F0A" w:rsidRPr="009B0C7B" w:rsidRDefault="00402F0A" w:rsidP="00402F0A">
      <w:pPr>
        <w:spacing w:before="120" w:after="120"/>
      </w:pPr>
      <w:r w:rsidRPr="009B0C7B">
        <w:t>As of May 2025, there were 12 HARP plans statewide, with a total enrollment of 151,677. This number is up from 136,351 pre-pandemic in January 2020, but has been slowly decreasing from the pandemic-era high of 168,053 in June 2023. About half (48.6%) of enrollees are in NYC</w:t>
      </w:r>
      <w:r w:rsidR="009B0C7B" w:rsidRPr="009B0C7B">
        <w:t>.</w:t>
      </w:r>
    </w:p>
    <w:p w14:paraId="26B25774" w14:textId="77777777" w:rsidR="00402F0A" w:rsidRPr="00752140" w:rsidRDefault="00402F0A" w:rsidP="00402F0A">
      <w:pPr>
        <w:pStyle w:val="Heading2"/>
      </w:pPr>
      <w:bookmarkStart w:id="14" w:name="_Toc207704010"/>
      <w:r>
        <w:t>Community-based Specialty BH Services</w:t>
      </w:r>
      <w:bookmarkEnd w:id="14"/>
    </w:p>
    <w:p w14:paraId="22D1C958" w14:textId="77777777" w:rsidR="00402F0A" w:rsidRDefault="00402F0A" w:rsidP="00402F0A">
      <w:pPr>
        <w:pStyle w:val="Heading3"/>
      </w:pPr>
      <w:bookmarkStart w:id="15" w:name="_Toc207704011"/>
      <w:r>
        <w:t>BH HCBS</w:t>
      </w:r>
      <w:bookmarkEnd w:id="15"/>
    </w:p>
    <w:p w14:paraId="65260464" w14:textId="77777777" w:rsidR="00402F0A" w:rsidRPr="00ED64CA" w:rsidRDefault="00402F0A" w:rsidP="00402F0A">
      <w:pPr>
        <w:spacing w:before="120" w:after="120"/>
      </w:pPr>
      <w:hyperlink r:id="rId14" w:history="1">
        <w:r w:rsidRPr="00C36A3D">
          <w:rPr>
            <w:rStyle w:val="Hyperlink"/>
          </w:rPr>
          <w:t>Behavioral Health Home and Community Based Services (BH HCBS)</w:t>
        </w:r>
      </w:hyperlink>
      <w:r>
        <w:rPr>
          <w:color w:val="1A1A1A"/>
        </w:rPr>
        <w:t xml:space="preserve"> </w:t>
      </w:r>
      <w:r w:rsidRPr="00ED64CA">
        <w:t xml:space="preserve">are available to HARP or HIV Special Needs Plan (HIV SNP) enrollees who are found eligible after completing the NYS Eligibility Assessment. Providers are designated to provide BH HCBS through an attestation and application </w:t>
      </w:r>
      <w:r w:rsidRPr="00ED64CA">
        <w:lastRenderedPageBreak/>
        <w:t>process administered by the NYS Office of Mental Health (OMH) and Office of Addiction Services and Supports (OASAS).</w:t>
      </w:r>
    </w:p>
    <w:p w14:paraId="7E835ED8" w14:textId="77777777" w:rsidR="00402F0A" w:rsidRPr="00ED64CA" w:rsidRDefault="00402F0A" w:rsidP="00402F0A">
      <w:pPr>
        <w:spacing w:before="120" w:after="120"/>
      </w:pPr>
      <w:r w:rsidRPr="00ED64CA">
        <w:t>BH HCBS include:</w:t>
      </w:r>
    </w:p>
    <w:p w14:paraId="10DA819A" w14:textId="77777777" w:rsidR="00402F0A" w:rsidRPr="00ED64CA" w:rsidRDefault="00402F0A" w:rsidP="005D787B">
      <w:pPr>
        <w:pStyle w:val="ListParagraph"/>
        <w:numPr>
          <w:ilvl w:val="0"/>
          <w:numId w:val="1"/>
        </w:numPr>
        <w:spacing w:before="120" w:after="120" w:line="240" w:lineRule="auto"/>
      </w:pPr>
      <w:r w:rsidRPr="00ED64CA">
        <w:t>Habilitation</w:t>
      </w:r>
    </w:p>
    <w:p w14:paraId="29AAB176" w14:textId="77777777" w:rsidR="00402F0A" w:rsidRPr="00ED64CA" w:rsidRDefault="00402F0A" w:rsidP="005D787B">
      <w:pPr>
        <w:pStyle w:val="ListParagraph"/>
        <w:numPr>
          <w:ilvl w:val="0"/>
          <w:numId w:val="1"/>
        </w:numPr>
        <w:spacing w:before="120" w:after="120" w:line="240" w:lineRule="auto"/>
      </w:pPr>
      <w:r w:rsidRPr="00ED64CA">
        <w:t>Education support services</w:t>
      </w:r>
    </w:p>
    <w:p w14:paraId="1466BE68" w14:textId="77777777" w:rsidR="00402F0A" w:rsidRPr="00ED64CA" w:rsidRDefault="00402F0A" w:rsidP="005D787B">
      <w:pPr>
        <w:pStyle w:val="ListParagraph"/>
        <w:numPr>
          <w:ilvl w:val="0"/>
          <w:numId w:val="1"/>
        </w:numPr>
        <w:spacing w:before="120" w:after="120" w:line="240" w:lineRule="auto"/>
      </w:pPr>
      <w:r w:rsidRPr="00ED64CA">
        <w:t>Pre-vocational services</w:t>
      </w:r>
    </w:p>
    <w:p w14:paraId="44A35AA5" w14:textId="77777777" w:rsidR="00402F0A" w:rsidRPr="00ED64CA" w:rsidRDefault="00402F0A" w:rsidP="005D787B">
      <w:pPr>
        <w:pStyle w:val="ListParagraph"/>
        <w:numPr>
          <w:ilvl w:val="0"/>
          <w:numId w:val="1"/>
        </w:numPr>
        <w:spacing w:before="120" w:after="120" w:line="240" w:lineRule="auto"/>
      </w:pPr>
      <w:r w:rsidRPr="00ED64CA">
        <w:t>Transitional employment</w:t>
      </w:r>
    </w:p>
    <w:p w14:paraId="49D954FE" w14:textId="77777777" w:rsidR="00402F0A" w:rsidRPr="00ED64CA" w:rsidRDefault="00402F0A" w:rsidP="005D787B">
      <w:pPr>
        <w:pStyle w:val="ListParagraph"/>
        <w:numPr>
          <w:ilvl w:val="0"/>
          <w:numId w:val="1"/>
        </w:numPr>
        <w:spacing w:before="120" w:after="120" w:line="240" w:lineRule="auto"/>
      </w:pPr>
      <w:r w:rsidRPr="00ED64CA">
        <w:t>Intensive supported employment</w:t>
      </w:r>
    </w:p>
    <w:p w14:paraId="319E6113" w14:textId="77777777" w:rsidR="00402F0A" w:rsidRPr="00ED64CA" w:rsidRDefault="00402F0A" w:rsidP="005D787B">
      <w:pPr>
        <w:pStyle w:val="ListParagraph"/>
        <w:numPr>
          <w:ilvl w:val="0"/>
          <w:numId w:val="1"/>
        </w:numPr>
        <w:spacing w:before="120" w:after="120" w:line="240" w:lineRule="auto"/>
      </w:pPr>
      <w:r w:rsidRPr="00ED64CA">
        <w:t>Ongoing supported employment</w:t>
      </w:r>
    </w:p>
    <w:p w14:paraId="23FEF6B6" w14:textId="77777777" w:rsidR="00402F0A" w:rsidRPr="00ED64CA" w:rsidRDefault="00402F0A" w:rsidP="005D787B">
      <w:pPr>
        <w:pStyle w:val="ListParagraph"/>
        <w:numPr>
          <w:ilvl w:val="0"/>
          <w:numId w:val="1"/>
        </w:numPr>
        <w:spacing w:before="120" w:after="120" w:line="240" w:lineRule="auto"/>
      </w:pPr>
      <w:r w:rsidRPr="00ED64CA">
        <w:t>Non-medical transportation</w:t>
      </w:r>
    </w:p>
    <w:p w14:paraId="074B71AC" w14:textId="77777777" w:rsidR="00402F0A" w:rsidRPr="00ED64CA" w:rsidRDefault="00402F0A" w:rsidP="00402F0A">
      <w:pPr>
        <w:spacing w:before="120" w:after="120"/>
      </w:pPr>
      <w:r w:rsidRPr="00ED64CA">
        <w:t xml:space="preserve">For those opting out of Health Home, a State Designated Entity (SDE)—which would also be a Health Home or downstream care management agency—would conduct the BH HCBS assessment. However, in their role as an SDE, they would only provide the assessment and associated care planning services. </w:t>
      </w:r>
    </w:p>
    <w:p w14:paraId="745486E2" w14:textId="77777777" w:rsidR="00402F0A" w:rsidRDefault="00402F0A" w:rsidP="00402F0A">
      <w:pPr>
        <w:pStyle w:val="Heading3"/>
      </w:pPr>
      <w:bookmarkStart w:id="16" w:name="_Toc207704012"/>
      <w:r>
        <w:t>CORE Services</w:t>
      </w:r>
      <w:bookmarkEnd w:id="16"/>
    </w:p>
    <w:p w14:paraId="69C77D2B" w14:textId="77777777" w:rsidR="00402F0A" w:rsidRPr="00ED64CA" w:rsidRDefault="00402F0A" w:rsidP="00402F0A">
      <w:pPr>
        <w:spacing w:before="120" w:after="120"/>
      </w:pPr>
      <w:r w:rsidRPr="00BE16E4">
        <w:t xml:space="preserve">In February 2022, four BH HCBS services transitioned to a new service array called </w:t>
      </w:r>
      <w:hyperlink r:id="rId15" w:history="1">
        <w:r w:rsidRPr="00BE16E4">
          <w:rPr>
            <w:rStyle w:val="Hyperlink"/>
          </w:rPr>
          <w:t>Community Oriented Recovery and Empowerment (CORE)</w:t>
        </w:r>
      </w:hyperlink>
      <w:r w:rsidRPr="00BE16E4">
        <w:t xml:space="preserve">. MCOs are required to include CORE services in benefit packages for all HARP enrollees, HARP-eligible HIV-SNP enrollees, and HARP-eligible MAP Plan enrollees. </w:t>
      </w:r>
      <w:r>
        <w:t xml:space="preserve">CORE </w:t>
      </w:r>
      <w:r w:rsidRPr="00274073">
        <w:t xml:space="preserve">services </w:t>
      </w:r>
      <w:r w:rsidRPr="006206DD">
        <w:t>are</w:t>
      </w:r>
      <w:r w:rsidRPr="00274073">
        <w:t xml:space="preserve"> jointly overseen and monitored by OMH and OASAS. Providers </w:t>
      </w:r>
      <w:r w:rsidRPr="006206DD">
        <w:t>are</w:t>
      </w:r>
      <w:r w:rsidRPr="00274073">
        <w:t xml:space="preserve"> designated by both agencies and </w:t>
      </w:r>
      <w:r w:rsidRPr="006206DD">
        <w:t>are</w:t>
      </w:r>
      <w:r w:rsidRPr="00274073">
        <w:t xml:space="preserve"> assigned</w:t>
      </w:r>
      <w:r>
        <w:t xml:space="preserve"> to either OMH or OASAS as their host agency. </w:t>
      </w:r>
      <w:r w:rsidRPr="00ED64CA">
        <w:t xml:space="preserve">The CORE service array includes: </w:t>
      </w:r>
    </w:p>
    <w:p w14:paraId="2519B835" w14:textId="77777777" w:rsidR="00402F0A" w:rsidRPr="00ED64CA" w:rsidRDefault="00402F0A" w:rsidP="005D787B">
      <w:pPr>
        <w:pStyle w:val="ListParagraph"/>
        <w:numPr>
          <w:ilvl w:val="0"/>
          <w:numId w:val="5"/>
        </w:numPr>
        <w:spacing w:before="120" w:after="120" w:line="240" w:lineRule="auto"/>
      </w:pPr>
      <w:r w:rsidRPr="00ED64CA">
        <w:t>Community Psychiatric Support and Treatment (CPST)</w:t>
      </w:r>
    </w:p>
    <w:p w14:paraId="66BC9E12" w14:textId="77777777" w:rsidR="00402F0A" w:rsidRPr="00ED64CA" w:rsidRDefault="00402F0A" w:rsidP="005D787B">
      <w:pPr>
        <w:pStyle w:val="ListParagraph"/>
        <w:numPr>
          <w:ilvl w:val="0"/>
          <w:numId w:val="5"/>
        </w:numPr>
        <w:spacing w:before="120" w:after="120" w:line="240" w:lineRule="auto"/>
      </w:pPr>
      <w:r w:rsidRPr="00ED64CA">
        <w:t>Psychosocial Rehabilitation (PSR)</w:t>
      </w:r>
    </w:p>
    <w:p w14:paraId="6D090A0E" w14:textId="77777777" w:rsidR="00402F0A" w:rsidRPr="00ED64CA" w:rsidRDefault="00402F0A" w:rsidP="005D787B">
      <w:pPr>
        <w:pStyle w:val="ListParagraph"/>
        <w:numPr>
          <w:ilvl w:val="0"/>
          <w:numId w:val="5"/>
        </w:numPr>
        <w:spacing w:before="120" w:after="120" w:line="240" w:lineRule="auto"/>
      </w:pPr>
      <w:r w:rsidRPr="00ED64CA">
        <w:t>Family Support and Training (FST)</w:t>
      </w:r>
    </w:p>
    <w:p w14:paraId="0ED39C0C" w14:textId="77777777" w:rsidR="00402F0A" w:rsidRPr="00ED64CA" w:rsidRDefault="00402F0A" w:rsidP="005D787B">
      <w:pPr>
        <w:pStyle w:val="ListParagraph"/>
        <w:numPr>
          <w:ilvl w:val="0"/>
          <w:numId w:val="5"/>
        </w:numPr>
        <w:spacing w:before="120" w:after="120" w:line="240" w:lineRule="auto"/>
      </w:pPr>
      <w:r w:rsidRPr="00ED64CA">
        <w:t>Empowerment Services – Peer Support</w:t>
      </w:r>
    </w:p>
    <w:p w14:paraId="67162D7B" w14:textId="77777777" w:rsidR="00402F0A" w:rsidRPr="00F416DB" w:rsidRDefault="00402F0A" w:rsidP="00402F0A">
      <w:pPr>
        <w:spacing w:before="120" w:after="120"/>
        <w:rPr>
          <w:highlight w:val="yellow"/>
        </w:rPr>
      </w:pPr>
      <w:r>
        <w:t xml:space="preserve">To be eligible for CORE services, individuals must meet the NYS high-needs behavioral health criteria (i.e., the HARP eligibility algorithm) and be enrolled in a HARP, HIV SNP, or MAP plan. </w:t>
      </w:r>
      <w:r w:rsidRPr="00F416DB">
        <w:rPr>
          <w:color w:val="000000" w:themeColor="text1"/>
          <w:shd w:val="clear" w:color="auto" w:fill="FFFFFF"/>
        </w:rPr>
        <w:t>Unlike the adult BH HCBS, CORE services do not require an independent eligibility assessment. Instead, CORE services may be provided to any eligible beneficiary upon recommendation by a Licensed Practitioner of the Healing Arts (LPHA). </w:t>
      </w:r>
    </w:p>
    <w:p w14:paraId="01510F7F" w14:textId="77777777" w:rsidR="00402F0A" w:rsidRDefault="00402F0A" w:rsidP="00402F0A">
      <w:pPr>
        <w:pStyle w:val="Heading2"/>
      </w:pPr>
      <w:bookmarkStart w:id="17" w:name="_Toc207704013"/>
      <w:r>
        <w:t>Certified Community Behavioral Health Clinics (CCBHCs)</w:t>
      </w:r>
      <w:bookmarkEnd w:id="17"/>
    </w:p>
    <w:p w14:paraId="1DCC2B3E" w14:textId="77777777" w:rsidR="00402F0A" w:rsidRDefault="00402F0A" w:rsidP="00402F0A">
      <w:pPr>
        <w:spacing w:after="120"/>
      </w:pPr>
      <w:r>
        <w:t xml:space="preserve">Certified Community Behavioral Health Clinics (CCBHCs) are the behavioral health analogue to the Federally Qualified Health Center (FQHC) model, offering integrated behavioral health care to all individuals regardless of ability to pay. </w:t>
      </w:r>
      <w:r w:rsidRPr="00B774A0">
        <w:t xml:space="preserve">The CCBHC model is widely viewed as an important advance in providing care to people with serious behavioral health needs, as the CCBHC becomes the center for coordinating physical, behavioral, and social care for its enrollees. The care model is </w:t>
      </w:r>
      <w:r w:rsidRPr="00B774A0">
        <w:lastRenderedPageBreak/>
        <w:t>administered by the federal Substance Abuse and Mental Health Services Administration (SAMHSA) and has received bipartisan support at the federal and state levels since the demonstration began in 2017.</w:t>
      </w:r>
    </w:p>
    <w:p w14:paraId="3CA3B487" w14:textId="77777777" w:rsidR="00402F0A" w:rsidRDefault="00402F0A" w:rsidP="00402F0A">
      <w:pPr>
        <w:spacing w:after="120"/>
      </w:pPr>
      <w:r>
        <w:t xml:space="preserve">CCBHCs must provide, either directly or via contract, the following behavioral health support services: </w:t>
      </w:r>
    </w:p>
    <w:p w14:paraId="6F517D90" w14:textId="77777777" w:rsidR="00402F0A" w:rsidRPr="00F25450" w:rsidRDefault="00402F0A" w:rsidP="005D787B">
      <w:pPr>
        <w:pStyle w:val="ListParagraph"/>
        <w:numPr>
          <w:ilvl w:val="0"/>
          <w:numId w:val="17"/>
        </w:numPr>
        <w:spacing w:line="240" w:lineRule="auto"/>
        <w:rPr>
          <w:b/>
          <w:bCs/>
          <w:i/>
          <w:iCs/>
        </w:rPr>
      </w:pPr>
      <w:r w:rsidRPr="00F25450">
        <w:t>24/7 crisis services;</w:t>
      </w:r>
    </w:p>
    <w:p w14:paraId="244AEFBB" w14:textId="77777777" w:rsidR="00402F0A" w:rsidRPr="00F25450" w:rsidRDefault="00402F0A" w:rsidP="005D787B">
      <w:pPr>
        <w:pStyle w:val="ListParagraph"/>
        <w:numPr>
          <w:ilvl w:val="0"/>
          <w:numId w:val="17"/>
        </w:numPr>
        <w:spacing w:line="240" w:lineRule="auto"/>
        <w:rPr>
          <w:b/>
          <w:bCs/>
          <w:i/>
          <w:iCs/>
        </w:rPr>
      </w:pPr>
      <w:r w:rsidRPr="00F25450">
        <w:t>Screening, assessment, and diagnosis;</w:t>
      </w:r>
    </w:p>
    <w:p w14:paraId="69DB9A7E" w14:textId="77777777" w:rsidR="00402F0A" w:rsidRPr="00F25450" w:rsidRDefault="00402F0A" w:rsidP="005D787B">
      <w:pPr>
        <w:pStyle w:val="ListParagraph"/>
        <w:numPr>
          <w:ilvl w:val="0"/>
          <w:numId w:val="17"/>
        </w:numPr>
        <w:spacing w:line="240" w:lineRule="auto"/>
        <w:rPr>
          <w:b/>
          <w:bCs/>
          <w:i/>
          <w:iCs/>
        </w:rPr>
      </w:pPr>
      <w:r w:rsidRPr="00F25450">
        <w:t>Patient-centered</w:t>
      </w:r>
      <w:r>
        <w:t xml:space="preserve"> and family-centered</w:t>
      </w:r>
      <w:r w:rsidRPr="00F25450">
        <w:t xml:space="preserve"> treatment planning;</w:t>
      </w:r>
    </w:p>
    <w:p w14:paraId="28C2D181" w14:textId="77777777" w:rsidR="00402F0A" w:rsidRPr="00F25450" w:rsidRDefault="00402F0A" w:rsidP="005D787B">
      <w:pPr>
        <w:pStyle w:val="ListParagraph"/>
        <w:numPr>
          <w:ilvl w:val="0"/>
          <w:numId w:val="17"/>
        </w:numPr>
        <w:spacing w:line="240" w:lineRule="auto"/>
        <w:rPr>
          <w:i/>
          <w:iCs/>
        </w:rPr>
      </w:pPr>
      <w:r w:rsidRPr="00F25450">
        <w:t>Outpatient mental health and substance use services;</w:t>
      </w:r>
    </w:p>
    <w:p w14:paraId="54EC13C2" w14:textId="77777777" w:rsidR="00402F0A" w:rsidRPr="00F25450" w:rsidRDefault="00402F0A" w:rsidP="005D787B">
      <w:pPr>
        <w:pStyle w:val="ListParagraph"/>
        <w:numPr>
          <w:ilvl w:val="0"/>
          <w:numId w:val="17"/>
        </w:numPr>
        <w:spacing w:line="240" w:lineRule="auto"/>
        <w:rPr>
          <w:i/>
          <w:iCs/>
        </w:rPr>
      </w:pPr>
      <w:r w:rsidRPr="00F25450">
        <w:t>Outpatient clinic primary care screening and monitoring services;</w:t>
      </w:r>
    </w:p>
    <w:p w14:paraId="7FBEE7C4" w14:textId="77777777" w:rsidR="00402F0A" w:rsidRPr="00F25450" w:rsidRDefault="00402F0A" w:rsidP="005D787B">
      <w:pPr>
        <w:pStyle w:val="ListParagraph"/>
        <w:numPr>
          <w:ilvl w:val="0"/>
          <w:numId w:val="17"/>
        </w:numPr>
        <w:spacing w:line="240" w:lineRule="auto"/>
        <w:rPr>
          <w:i/>
          <w:iCs/>
        </w:rPr>
      </w:pPr>
      <w:r w:rsidRPr="00F25450">
        <w:t>Targeted case management;</w:t>
      </w:r>
    </w:p>
    <w:p w14:paraId="59CE58CA" w14:textId="77777777" w:rsidR="00402F0A" w:rsidRPr="00F25450" w:rsidRDefault="00402F0A" w:rsidP="005D787B">
      <w:pPr>
        <w:pStyle w:val="ListParagraph"/>
        <w:numPr>
          <w:ilvl w:val="0"/>
          <w:numId w:val="17"/>
        </w:numPr>
        <w:spacing w:line="240" w:lineRule="auto"/>
        <w:rPr>
          <w:i/>
          <w:iCs/>
        </w:rPr>
      </w:pPr>
      <w:r w:rsidRPr="00F25450">
        <w:t>Psychiatric rehabilitation services;</w:t>
      </w:r>
    </w:p>
    <w:p w14:paraId="5C3130B2" w14:textId="77777777" w:rsidR="00402F0A" w:rsidRPr="00F25450" w:rsidRDefault="00402F0A" w:rsidP="005D787B">
      <w:pPr>
        <w:pStyle w:val="ListParagraph"/>
        <w:numPr>
          <w:ilvl w:val="0"/>
          <w:numId w:val="17"/>
        </w:numPr>
        <w:spacing w:line="240" w:lineRule="auto"/>
        <w:rPr>
          <w:i/>
          <w:iCs/>
        </w:rPr>
      </w:pPr>
      <w:r w:rsidRPr="00F25450">
        <w:t>Peer and family supports; and</w:t>
      </w:r>
    </w:p>
    <w:p w14:paraId="66260B68" w14:textId="77777777" w:rsidR="00402F0A" w:rsidRPr="00F25450" w:rsidRDefault="00402F0A" w:rsidP="005D787B">
      <w:pPr>
        <w:pStyle w:val="ListParagraph"/>
        <w:numPr>
          <w:ilvl w:val="0"/>
          <w:numId w:val="17"/>
        </w:numPr>
        <w:spacing w:line="240" w:lineRule="auto"/>
      </w:pPr>
      <w:r w:rsidRPr="00F25450">
        <w:t>Intensive community-based care for members of the armed forces and veterans.</w:t>
      </w:r>
    </w:p>
    <w:p w14:paraId="5C908074" w14:textId="77777777" w:rsidR="00402F0A" w:rsidRDefault="00402F0A" w:rsidP="00402F0A">
      <w:pPr>
        <w:spacing w:after="120"/>
      </w:pPr>
      <w:r>
        <w:t xml:space="preserve">There are 20 states (including New York) that currently participate in the CCBHC demonstration, which provides additional Medicaid funding for CCBHC services paid through a cost-based prospective payment system (PPS). Individual agencies may also receive federal Expansion Grants to support implementation of the CCBHC model in any state, but are reimbursed under their state’s existing Medicaid behavioral health benefit and payment methodologies. </w:t>
      </w:r>
    </w:p>
    <w:p w14:paraId="2E9CBCA8" w14:textId="77777777" w:rsidR="00402F0A" w:rsidRDefault="00402F0A" w:rsidP="00402F0A">
      <w:pPr>
        <w:spacing w:after="120"/>
      </w:pPr>
      <w:r w:rsidRPr="00F25450">
        <w:t xml:space="preserve">In New York, </w:t>
      </w:r>
      <w:r>
        <w:t>CCBHCs are</w:t>
      </w:r>
      <w:r w:rsidRPr="00F25450">
        <w:t xml:space="preserve"> established pursuant to Articles 31 and 32 of the Mental Hygiene Law and require both </w:t>
      </w:r>
      <w:r>
        <w:t>licenses. NYS has prioritized the expansion of the CCBHC model, most recently through the development of 26 new CCBHC demonstration sites statewide starting in 2023. These sites will join the 13 established sites in the demonstration program, further enhancing access to integrated behavioral health services through this model.</w:t>
      </w:r>
    </w:p>
    <w:p w14:paraId="4DFE3CB1" w14:textId="02E21EFD" w:rsidR="00402F0A" w:rsidRPr="00BE16E4" w:rsidRDefault="00402F0A" w:rsidP="00402F0A">
      <w:pPr>
        <w:spacing w:after="120"/>
      </w:pPr>
      <w:r>
        <w:t xml:space="preserve">In </w:t>
      </w:r>
      <w:r w:rsidR="00295622">
        <w:t>spring</w:t>
      </w:r>
      <w:r>
        <w:t xml:space="preserve"> 2025, New York indicated that it is submitting a State Plan Amendment (SPA) to permanently authorize the CCBHC benefit under the Medicaid program after the expiration of the demonstration. </w:t>
      </w:r>
    </w:p>
    <w:p w14:paraId="2D6B2CF7" w14:textId="77777777" w:rsidR="00402F0A" w:rsidRPr="001D4BC7" w:rsidRDefault="00402F0A" w:rsidP="00402F0A">
      <w:pPr>
        <w:pStyle w:val="Heading2"/>
        <w:rPr>
          <w:sz w:val="36"/>
          <w:szCs w:val="36"/>
        </w:rPr>
      </w:pPr>
      <w:bookmarkStart w:id="18" w:name="_Toc207704014"/>
      <w:r w:rsidRPr="001D4BC7">
        <w:t>Behavioral Health Care Collaboratives (BHCCs)</w:t>
      </w:r>
      <w:bookmarkEnd w:id="18"/>
    </w:p>
    <w:p w14:paraId="03A8D155" w14:textId="77777777" w:rsidR="00402F0A" w:rsidRPr="00E74991" w:rsidRDefault="00402F0A" w:rsidP="00402F0A">
      <w:pPr>
        <w:spacing w:before="120" w:after="120"/>
      </w:pPr>
      <w:r w:rsidRPr="00E74991">
        <w:t>In 2017, NYS launched a $60 million BH VBP Readiness initiative to help BH providers build the infrastructure they needed to engage in VBP arrangements by forming networks known as Behavioral Health Care Collaboratives (BHCCs). BHCC network members must be community-based Article 31, Article 32, or BH HCBS providers, but other types of organizations may join as affiliate members. </w:t>
      </w:r>
    </w:p>
    <w:p w14:paraId="7E7355EF" w14:textId="77777777" w:rsidR="00402F0A" w:rsidRPr="00E74991" w:rsidRDefault="00402F0A" w:rsidP="00402F0A">
      <w:pPr>
        <w:spacing w:before="120" w:after="120"/>
      </w:pPr>
      <w:r w:rsidRPr="00E74991">
        <w:t>BHCCs are expected to help prepare their members to engage in VBP contracting by: </w:t>
      </w:r>
    </w:p>
    <w:p w14:paraId="29B4AA89" w14:textId="77777777" w:rsidR="00402F0A" w:rsidRPr="00E74991" w:rsidRDefault="00402F0A" w:rsidP="005D787B">
      <w:pPr>
        <w:pStyle w:val="ListParagraph"/>
        <w:numPr>
          <w:ilvl w:val="0"/>
          <w:numId w:val="5"/>
        </w:numPr>
        <w:spacing w:before="120" w:after="120" w:line="240" w:lineRule="auto"/>
      </w:pPr>
      <w:r w:rsidRPr="00E74991">
        <w:t>Creating a contracting legal entity, such as an IPA; </w:t>
      </w:r>
    </w:p>
    <w:p w14:paraId="12FF153A" w14:textId="77777777" w:rsidR="00402F0A" w:rsidRPr="00E74991" w:rsidRDefault="00402F0A" w:rsidP="005D787B">
      <w:pPr>
        <w:pStyle w:val="ListParagraph"/>
        <w:numPr>
          <w:ilvl w:val="0"/>
          <w:numId w:val="5"/>
        </w:numPr>
        <w:spacing w:before="120" w:after="120" w:line="240" w:lineRule="auto"/>
      </w:pPr>
      <w:r w:rsidRPr="00E74991">
        <w:t>Developing the capability to handle data collection and analysis functions; </w:t>
      </w:r>
    </w:p>
    <w:p w14:paraId="5EDE022C" w14:textId="77777777" w:rsidR="00402F0A" w:rsidRPr="00E74991" w:rsidRDefault="00402F0A" w:rsidP="005D787B">
      <w:pPr>
        <w:pStyle w:val="ListParagraph"/>
        <w:numPr>
          <w:ilvl w:val="0"/>
          <w:numId w:val="5"/>
        </w:numPr>
        <w:spacing w:before="120" w:after="120" w:line="240" w:lineRule="auto"/>
      </w:pPr>
      <w:r w:rsidRPr="00E74991">
        <w:lastRenderedPageBreak/>
        <w:t>Improving behavioral and physical health outcomes and quality measurement; and</w:t>
      </w:r>
    </w:p>
    <w:p w14:paraId="0606435B" w14:textId="77777777" w:rsidR="00402F0A" w:rsidRPr="00E74991" w:rsidRDefault="00402F0A" w:rsidP="005D787B">
      <w:pPr>
        <w:pStyle w:val="ListParagraph"/>
        <w:numPr>
          <w:ilvl w:val="0"/>
          <w:numId w:val="5"/>
        </w:numPr>
        <w:spacing w:before="120" w:after="120" w:line="240" w:lineRule="auto"/>
      </w:pPr>
      <w:r w:rsidRPr="00E74991">
        <w:t>Enhancing care delivery through clinical integration. </w:t>
      </w:r>
    </w:p>
    <w:p w14:paraId="3952A6B7" w14:textId="77777777" w:rsidR="00402F0A" w:rsidRPr="00E74991" w:rsidRDefault="00402F0A" w:rsidP="00402F0A">
      <w:pPr>
        <w:spacing w:before="120" w:after="120"/>
      </w:pPr>
      <w:r w:rsidRPr="00E74991">
        <w:t>By April 2020, each BHCC was expected to have negotiated at least one VBP arrangement with a MMC plan. To fulfill this requirement, BHCCs were expected to either (a) participate in a Level 2 or higher VBP arrangement as a Level 1 provider network, or (b) become a contracting entity in a Level 2 or higher arrangement. Statewide, 19 BHCCs were selected to receive funding through the initiative, with seven operating in NYC and Long Island.</w:t>
      </w:r>
    </w:p>
    <w:p w14:paraId="550C4E64" w14:textId="46D8A49C" w:rsidR="00402F0A" w:rsidRPr="00E74991" w:rsidRDefault="00D62F21" w:rsidP="00402F0A">
      <w:pPr>
        <w:spacing w:before="120" w:after="120"/>
      </w:pPr>
      <w:r>
        <w:t xml:space="preserve">NYS subsequently ran two additional initiatives that included funding for BHCCs, </w:t>
      </w:r>
      <w:r w:rsidR="006C2B4B">
        <w:t xml:space="preserve">with </w:t>
      </w:r>
      <w:r>
        <w:t>the most recent performance period end</w:t>
      </w:r>
      <w:r w:rsidR="00AC1EA3">
        <w:t xml:space="preserve">ing </w:t>
      </w:r>
      <w:r>
        <w:t xml:space="preserve">March 31, 2025. This third round was </w:t>
      </w:r>
      <w:r w:rsidR="00402F0A" w:rsidRPr="00E74991">
        <w:t xml:space="preserve">intended to be the final round of State funding for the BHCCs. </w:t>
      </w:r>
    </w:p>
    <w:p w14:paraId="542824D3" w14:textId="77777777" w:rsidR="00402F0A" w:rsidRPr="00973CBC" w:rsidRDefault="00402F0A" w:rsidP="00402F0A">
      <w:pPr>
        <w:pStyle w:val="Heading1"/>
      </w:pPr>
      <w:bookmarkStart w:id="19" w:name="_Toc207704015"/>
      <w:r w:rsidRPr="00973CBC">
        <w:t xml:space="preserve">Children’s Medicaid </w:t>
      </w:r>
      <w:r>
        <w:t xml:space="preserve">Service </w:t>
      </w:r>
      <w:r w:rsidRPr="00973CBC">
        <w:t>System</w:t>
      </w:r>
      <w:bookmarkEnd w:id="19"/>
      <w:r w:rsidRPr="00973CBC">
        <w:t xml:space="preserve"> </w:t>
      </w:r>
    </w:p>
    <w:p w14:paraId="23198BF8" w14:textId="77777777" w:rsidR="00402F0A" w:rsidRPr="000F1006" w:rsidRDefault="00402F0A" w:rsidP="00402F0A">
      <w:pPr>
        <w:spacing w:before="120" w:after="120"/>
      </w:pPr>
      <w:r w:rsidRPr="000F1006">
        <w:t xml:space="preserve">From 2018-2021, NYS enacted a comprehensive reform of Medicaid children’s services, including the creation of Health Home care management, the implementation of new State Plan Amendment (SPA) services, the consolidation of existing HCBS within a single benefit package, and the carve-in of the foster care population into managed care. </w:t>
      </w:r>
    </w:p>
    <w:p w14:paraId="261B705A" w14:textId="77777777" w:rsidR="00402F0A" w:rsidRPr="000F1006" w:rsidRDefault="00402F0A" w:rsidP="00402F0A">
      <w:pPr>
        <w:spacing w:before="120" w:after="120"/>
      </w:pPr>
      <w:r w:rsidRPr="000F1006">
        <w:t>Details on each of these service components and sub-populations are provided below.</w:t>
      </w:r>
    </w:p>
    <w:p w14:paraId="05B1FC93" w14:textId="77777777" w:rsidR="00402F0A" w:rsidRPr="001D4BC7" w:rsidRDefault="00402F0A" w:rsidP="00402F0A">
      <w:pPr>
        <w:pStyle w:val="Heading2"/>
        <w:rPr>
          <w:sz w:val="36"/>
          <w:szCs w:val="36"/>
        </w:rPr>
      </w:pPr>
      <w:bookmarkStart w:id="20" w:name="_Toc207704016"/>
      <w:r w:rsidRPr="001D4BC7">
        <w:t>HCBS for Children</w:t>
      </w:r>
      <w:bookmarkEnd w:id="20"/>
    </w:p>
    <w:p w14:paraId="183338A5" w14:textId="77777777" w:rsidR="00402F0A" w:rsidRPr="000C7134" w:rsidRDefault="00402F0A" w:rsidP="00402F0A">
      <w:pPr>
        <w:spacing w:before="120" w:after="120"/>
      </w:pPr>
      <w:r w:rsidRPr="000C7134">
        <w:t xml:space="preserve">Currently, a single package of </w:t>
      </w:r>
      <w:hyperlink r:id="rId16" w:history="1">
        <w:r w:rsidRPr="009826DE">
          <w:rPr>
            <w:rStyle w:val="Hyperlink"/>
          </w:rPr>
          <w:t>Home and Community-Based Services (HCBS)</w:t>
        </w:r>
      </w:hyperlink>
      <w:r w:rsidRPr="001D4BC7">
        <w:rPr>
          <w:color w:val="1A1A1A"/>
        </w:rPr>
        <w:t xml:space="preserve"> </w:t>
      </w:r>
      <w:r w:rsidRPr="000C7134">
        <w:t xml:space="preserve">is available to all Medicaid-enrolled children (individuals under the age of 21) who are determined to be eligible. The eligibility criteria include all children who either meet institutional need criteria or are at risk of institutional placement. </w:t>
      </w:r>
    </w:p>
    <w:p w14:paraId="0010CFFC" w14:textId="77777777" w:rsidR="00402F0A" w:rsidRPr="001D4BC7" w:rsidRDefault="00402F0A" w:rsidP="00402F0A">
      <w:pPr>
        <w:spacing w:before="120" w:after="120"/>
      </w:pPr>
      <w:r w:rsidRPr="000C7134">
        <w:t xml:space="preserve">All HCBS-eligible children will be eligible to enroll in a Children’s Health Home, which will screen the child for eligibility and develop their plan of care. If the child opts out of Health Home enrollment, the statewide Independent Entity, called the Children and Youth Evaluation Services (C-YES), will provide these functions. Please note that although all HCBS-eligible children are Health Home-eligible, not all Health </w:t>
      </w:r>
      <w:r>
        <w:rPr>
          <w:color w:val="1A1A1A"/>
        </w:rPr>
        <w:t>Home-eligible children are HCBS-eligible; they must be separately assessed to determine this.</w:t>
      </w:r>
    </w:p>
    <w:p w14:paraId="2007B94F" w14:textId="77777777" w:rsidR="00402F0A" w:rsidRPr="000C7134" w:rsidRDefault="00402F0A" w:rsidP="00402F0A">
      <w:pPr>
        <w:spacing w:before="120" w:after="120"/>
      </w:pPr>
      <w:r w:rsidRPr="000C7134">
        <w:t>The HCBS package includes the following services: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0"/>
        <w:gridCol w:w="4710"/>
      </w:tblGrid>
      <w:tr w:rsidR="000C7134" w:rsidRPr="000C7134" w14:paraId="00F54F8C" w14:textId="77777777" w:rsidTr="00D13BCD">
        <w:tc>
          <w:tcPr>
            <w:tcW w:w="5035" w:type="dxa"/>
            <w:vAlign w:val="center"/>
          </w:tcPr>
          <w:p w14:paraId="635CDF78" w14:textId="77777777" w:rsidR="00402F0A" w:rsidRPr="000C7134" w:rsidRDefault="00402F0A" w:rsidP="005D787B">
            <w:pPr>
              <w:pStyle w:val="ListParagraph"/>
              <w:numPr>
                <w:ilvl w:val="0"/>
                <w:numId w:val="7"/>
              </w:numPr>
              <w:spacing w:before="60" w:after="60"/>
              <w:textAlignment w:val="baseline"/>
            </w:pPr>
            <w:r w:rsidRPr="000C7134">
              <w:t>Community Habilitation</w:t>
            </w:r>
          </w:p>
        </w:tc>
        <w:tc>
          <w:tcPr>
            <w:tcW w:w="5035" w:type="dxa"/>
            <w:vAlign w:val="center"/>
          </w:tcPr>
          <w:p w14:paraId="7CF5E8EA" w14:textId="77777777" w:rsidR="00402F0A" w:rsidRPr="000C7134" w:rsidRDefault="00402F0A" w:rsidP="005D787B">
            <w:pPr>
              <w:pStyle w:val="ListParagraph"/>
              <w:numPr>
                <w:ilvl w:val="0"/>
                <w:numId w:val="6"/>
              </w:numPr>
              <w:spacing w:before="60" w:after="60"/>
            </w:pPr>
            <w:r w:rsidRPr="000C7134">
              <w:t>Non-Medical Transportation</w:t>
            </w:r>
          </w:p>
        </w:tc>
      </w:tr>
      <w:tr w:rsidR="000C7134" w:rsidRPr="000C7134" w14:paraId="6EB7CAF6" w14:textId="77777777" w:rsidTr="00D13BCD">
        <w:tc>
          <w:tcPr>
            <w:tcW w:w="5035" w:type="dxa"/>
            <w:vAlign w:val="center"/>
          </w:tcPr>
          <w:p w14:paraId="5DF96EF8" w14:textId="77777777" w:rsidR="00402F0A" w:rsidRPr="000C7134" w:rsidRDefault="00402F0A" w:rsidP="005D787B">
            <w:pPr>
              <w:pStyle w:val="ListParagraph"/>
              <w:numPr>
                <w:ilvl w:val="0"/>
                <w:numId w:val="6"/>
              </w:numPr>
              <w:spacing w:before="60" w:after="60"/>
            </w:pPr>
            <w:r w:rsidRPr="000C7134">
              <w:t>Day Habilitation</w:t>
            </w:r>
          </w:p>
        </w:tc>
        <w:tc>
          <w:tcPr>
            <w:tcW w:w="5035" w:type="dxa"/>
            <w:vAlign w:val="center"/>
          </w:tcPr>
          <w:p w14:paraId="45231A61" w14:textId="77777777" w:rsidR="00402F0A" w:rsidRPr="000C7134" w:rsidRDefault="00402F0A" w:rsidP="005D787B">
            <w:pPr>
              <w:pStyle w:val="ListParagraph"/>
              <w:numPr>
                <w:ilvl w:val="0"/>
                <w:numId w:val="6"/>
              </w:numPr>
              <w:spacing w:before="60" w:after="60"/>
            </w:pPr>
            <w:r w:rsidRPr="000C7134">
              <w:t>Adaptive and Assistive Equipment</w:t>
            </w:r>
          </w:p>
        </w:tc>
      </w:tr>
      <w:tr w:rsidR="000C7134" w:rsidRPr="000C7134" w14:paraId="707C997C" w14:textId="77777777" w:rsidTr="00D13BCD">
        <w:tc>
          <w:tcPr>
            <w:tcW w:w="5035" w:type="dxa"/>
            <w:vAlign w:val="center"/>
          </w:tcPr>
          <w:p w14:paraId="1BF22366" w14:textId="77777777" w:rsidR="00402F0A" w:rsidRPr="000C7134" w:rsidRDefault="00402F0A" w:rsidP="005D787B">
            <w:pPr>
              <w:pStyle w:val="ListParagraph"/>
              <w:numPr>
                <w:ilvl w:val="0"/>
                <w:numId w:val="6"/>
              </w:numPr>
              <w:spacing w:before="60" w:after="60"/>
            </w:pPr>
            <w:r w:rsidRPr="000C7134">
              <w:t>Caregiver/Family Supports and Services</w:t>
            </w:r>
          </w:p>
        </w:tc>
        <w:tc>
          <w:tcPr>
            <w:tcW w:w="5035" w:type="dxa"/>
            <w:vAlign w:val="center"/>
          </w:tcPr>
          <w:p w14:paraId="3344C66A" w14:textId="77777777" w:rsidR="00402F0A" w:rsidRPr="000C7134" w:rsidRDefault="00402F0A" w:rsidP="005D787B">
            <w:pPr>
              <w:pStyle w:val="ListParagraph"/>
              <w:numPr>
                <w:ilvl w:val="0"/>
                <w:numId w:val="6"/>
              </w:numPr>
              <w:spacing w:before="60" w:after="60"/>
            </w:pPr>
            <w:r w:rsidRPr="000C7134">
              <w:t>Vehicle Modifications</w:t>
            </w:r>
          </w:p>
        </w:tc>
      </w:tr>
      <w:tr w:rsidR="000C7134" w:rsidRPr="000C7134" w14:paraId="1AFD79AA" w14:textId="77777777" w:rsidTr="00D13BCD">
        <w:tc>
          <w:tcPr>
            <w:tcW w:w="5035" w:type="dxa"/>
            <w:vAlign w:val="center"/>
          </w:tcPr>
          <w:p w14:paraId="77192719" w14:textId="77777777" w:rsidR="00402F0A" w:rsidRPr="000C7134" w:rsidRDefault="00402F0A" w:rsidP="005D787B">
            <w:pPr>
              <w:pStyle w:val="ListParagraph"/>
              <w:numPr>
                <w:ilvl w:val="0"/>
                <w:numId w:val="6"/>
              </w:numPr>
              <w:spacing w:before="60" w:after="60"/>
            </w:pPr>
            <w:r w:rsidRPr="000C7134">
              <w:t>Respite (Planned and Crisis)</w:t>
            </w:r>
          </w:p>
        </w:tc>
        <w:tc>
          <w:tcPr>
            <w:tcW w:w="5035" w:type="dxa"/>
            <w:vAlign w:val="center"/>
          </w:tcPr>
          <w:p w14:paraId="1AFDF06E" w14:textId="77777777" w:rsidR="00402F0A" w:rsidRPr="000C7134" w:rsidRDefault="00402F0A" w:rsidP="005D787B">
            <w:pPr>
              <w:pStyle w:val="ListParagraph"/>
              <w:numPr>
                <w:ilvl w:val="0"/>
                <w:numId w:val="6"/>
              </w:numPr>
              <w:spacing w:before="60" w:after="60"/>
            </w:pPr>
            <w:r w:rsidRPr="000C7134">
              <w:t>Environmental Modifications</w:t>
            </w:r>
          </w:p>
        </w:tc>
      </w:tr>
      <w:tr w:rsidR="000C7134" w:rsidRPr="000C7134" w14:paraId="089AFCAF" w14:textId="77777777" w:rsidTr="00D13BCD">
        <w:trPr>
          <w:trHeight w:val="414"/>
        </w:trPr>
        <w:tc>
          <w:tcPr>
            <w:tcW w:w="5035" w:type="dxa"/>
            <w:vAlign w:val="center"/>
          </w:tcPr>
          <w:p w14:paraId="65D74153" w14:textId="77777777" w:rsidR="00402F0A" w:rsidRPr="000C7134" w:rsidRDefault="00402F0A" w:rsidP="005D787B">
            <w:pPr>
              <w:pStyle w:val="ListParagraph"/>
              <w:numPr>
                <w:ilvl w:val="0"/>
                <w:numId w:val="7"/>
              </w:numPr>
              <w:spacing w:before="60" w:after="60"/>
              <w:textAlignment w:val="baseline"/>
            </w:pPr>
            <w:r w:rsidRPr="000C7134">
              <w:lastRenderedPageBreak/>
              <w:t>Prevocational Services</w:t>
            </w:r>
          </w:p>
          <w:p w14:paraId="09313019" w14:textId="6A48EBA3" w:rsidR="005A60D9" w:rsidRPr="000C7134" w:rsidRDefault="005A60D9" w:rsidP="005D787B">
            <w:pPr>
              <w:pStyle w:val="ListParagraph"/>
              <w:numPr>
                <w:ilvl w:val="0"/>
                <w:numId w:val="7"/>
              </w:numPr>
              <w:spacing w:before="60" w:after="60"/>
              <w:textAlignment w:val="baseline"/>
            </w:pPr>
            <w:r w:rsidRPr="000C7134">
              <w:t xml:space="preserve">Supported Employment </w:t>
            </w:r>
          </w:p>
        </w:tc>
        <w:tc>
          <w:tcPr>
            <w:tcW w:w="5035" w:type="dxa"/>
            <w:vMerge w:val="restart"/>
            <w:vAlign w:val="center"/>
          </w:tcPr>
          <w:p w14:paraId="3F0EF18B" w14:textId="77777777" w:rsidR="00402F0A" w:rsidRPr="000C7134" w:rsidRDefault="00402F0A" w:rsidP="005D787B">
            <w:pPr>
              <w:pStyle w:val="ListParagraph"/>
              <w:numPr>
                <w:ilvl w:val="0"/>
                <w:numId w:val="6"/>
              </w:numPr>
              <w:spacing w:before="60" w:after="60"/>
            </w:pPr>
            <w:r w:rsidRPr="000C7134">
              <w:t>Palliative Care, including:</w:t>
            </w:r>
          </w:p>
          <w:p w14:paraId="3B553FC2" w14:textId="77777777" w:rsidR="00402F0A" w:rsidRPr="000C7134" w:rsidRDefault="00402F0A" w:rsidP="005D787B">
            <w:pPr>
              <w:pStyle w:val="ListParagraph"/>
              <w:numPr>
                <w:ilvl w:val="1"/>
                <w:numId w:val="6"/>
              </w:numPr>
              <w:spacing w:before="60" w:after="60"/>
            </w:pPr>
            <w:r w:rsidRPr="000C7134">
              <w:t>Expressive Therapy</w:t>
            </w:r>
          </w:p>
          <w:p w14:paraId="507BBC48" w14:textId="77777777" w:rsidR="00402F0A" w:rsidRPr="000C7134" w:rsidRDefault="00402F0A" w:rsidP="005D787B">
            <w:pPr>
              <w:pStyle w:val="ListParagraph"/>
              <w:numPr>
                <w:ilvl w:val="1"/>
                <w:numId w:val="6"/>
              </w:numPr>
              <w:spacing w:before="60" w:after="60"/>
            </w:pPr>
            <w:r w:rsidRPr="000C7134">
              <w:t>Massage Therapy</w:t>
            </w:r>
          </w:p>
          <w:p w14:paraId="35F308F3" w14:textId="77777777" w:rsidR="00402F0A" w:rsidRPr="000C7134" w:rsidRDefault="00402F0A" w:rsidP="005D787B">
            <w:pPr>
              <w:pStyle w:val="ListParagraph"/>
              <w:numPr>
                <w:ilvl w:val="1"/>
                <w:numId w:val="6"/>
              </w:numPr>
              <w:spacing w:before="60" w:after="60"/>
            </w:pPr>
            <w:r w:rsidRPr="000C7134">
              <w:t>Counseling and Support Services</w:t>
            </w:r>
          </w:p>
          <w:p w14:paraId="47AB103E" w14:textId="77777777" w:rsidR="00402F0A" w:rsidRPr="000C7134" w:rsidRDefault="00402F0A" w:rsidP="005D787B">
            <w:pPr>
              <w:pStyle w:val="ListParagraph"/>
              <w:numPr>
                <w:ilvl w:val="1"/>
                <w:numId w:val="6"/>
              </w:numPr>
              <w:spacing w:before="60" w:after="60"/>
            </w:pPr>
            <w:r w:rsidRPr="000C7134">
              <w:t>Pain &amp; Symptom Management</w:t>
            </w:r>
          </w:p>
        </w:tc>
      </w:tr>
      <w:tr w:rsidR="000C7134" w:rsidRPr="000C7134" w14:paraId="42DA6FEC" w14:textId="77777777" w:rsidTr="00D13BCD">
        <w:trPr>
          <w:trHeight w:val="261"/>
        </w:trPr>
        <w:tc>
          <w:tcPr>
            <w:tcW w:w="5035" w:type="dxa"/>
            <w:vAlign w:val="center"/>
          </w:tcPr>
          <w:p w14:paraId="3CDC771A" w14:textId="0A84CE55" w:rsidR="00402F0A" w:rsidRPr="000C7134" w:rsidRDefault="00402F0A" w:rsidP="005A60D9"/>
        </w:tc>
        <w:tc>
          <w:tcPr>
            <w:tcW w:w="5035" w:type="dxa"/>
            <w:vMerge/>
            <w:vAlign w:val="center"/>
          </w:tcPr>
          <w:p w14:paraId="70D1FCC1" w14:textId="77777777" w:rsidR="00402F0A" w:rsidRPr="000C7134" w:rsidRDefault="00402F0A" w:rsidP="00D13BCD">
            <w:pPr>
              <w:spacing w:before="60" w:after="60"/>
              <w:ind w:left="360"/>
            </w:pPr>
          </w:p>
        </w:tc>
      </w:tr>
    </w:tbl>
    <w:p w14:paraId="51049BA8" w14:textId="77777777" w:rsidR="00402F0A" w:rsidRPr="000C7134" w:rsidRDefault="00402F0A" w:rsidP="00402F0A">
      <w:pPr>
        <w:spacing w:before="120" w:after="120"/>
      </w:pPr>
      <w:r w:rsidRPr="000C7134">
        <w:t xml:space="preserve">The target population includes individuals under 21 who have or are classified as: </w:t>
      </w:r>
    </w:p>
    <w:p w14:paraId="38D45D97" w14:textId="77777777" w:rsidR="00402F0A" w:rsidRPr="000C7134" w:rsidRDefault="00402F0A" w:rsidP="005D787B">
      <w:pPr>
        <w:pStyle w:val="ListParagraph"/>
        <w:numPr>
          <w:ilvl w:val="0"/>
          <w:numId w:val="8"/>
        </w:numPr>
        <w:spacing w:before="120" w:after="120" w:line="240" w:lineRule="auto"/>
      </w:pPr>
      <w:r w:rsidRPr="000C7134">
        <w:t>Serious Emotional Disturbance (SED)</w:t>
      </w:r>
    </w:p>
    <w:p w14:paraId="4617305D" w14:textId="77777777" w:rsidR="00402F0A" w:rsidRPr="000C7134" w:rsidRDefault="00402F0A" w:rsidP="005D787B">
      <w:pPr>
        <w:pStyle w:val="ListParagraph"/>
        <w:numPr>
          <w:ilvl w:val="0"/>
          <w:numId w:val="8"/>
        </w:numPr>
        <w:spacing w:before="120" w:after="120" w:line="240" w:lineRule="auto"/>
      </w:pPr>
      <w:r w:rsidRPr="000C7134">
        <w:t>Medically Fragile (MF)</w:t>
      </w:r>
    </w:p>
    <w:p w14:paraId="02A736B5" w14:textId="77777777" w:rsidR="00402F0A" w:rsidRPr="000C7134" w:rsidRDefault="00402F0A" w:rsidP="005D787B">
      <w:pPr>
        <w:pStyle w:val="ListParagraph"/>
        <w:numPr>
          <w:ilvl w:val="0"/>
          <w:numId w:val="8"/>
        </w:numPr>
        <w:spacing w:before="120" w:after="120" w:line="240" w:lineRule="auto"/>
      </w:pPr>
      <w:r w:rsidRPr="000C7134">
        <w:t>Developmental Disability and Medically Fragile (DD/MF)</w:t>
      </w:r>
    </w:p>
    <w:p w14:paraId="63EA65D7" w14:textId="77777777" w:rsidR="00402F0A" w:rsidRDefault="00402F0A" w:rsidP="005D787B">
      <w:pPr>
        <w:pStyle w:val="ListParagraph"/>
        <w:numPr>
          <w:ilvl w:val="0"/>
          <w:numId w:val="8"/>
        </w:numPr>
        <w:spacing w:before="120" w:after="120" w:line="240" w:lineRule="auto"/>
        <w:rPr>
          <w:color w:val="000000" w:themeColor="text1"/>
        </w:rPr>
      </w:pPr>
      <w:r w:rsidRPr="000C7134">
        <w:t>Developmental Disability and in Foster Care (DD/FC</w:t>
      </w:r>
      <w:r w:rsidRPr="2746B9AC">
        <w:rPr>
          <w:color w:val="000000" w:themeColor="text1"/>
        </w:rPr>
        <w:t>)</w:t>
      </w:r>
    </w:p>
    <w:p w14:paraId="3251C9C4" w14:textId="77777777" w:rsidR="00402F0A" w:rsidRPr="001D4BC7" w:rsidRDefault="00402F0A" w:rsidP="00402F0A">
      <w:pPr>
        <w:pStyle w:val="Heading2"/>
        <w:rPr>
          <w:sz w:val="36"/>
          <w:szCs w:val="36"/>
        </w:rPr>
      </w:pPr>
      <w:bookmarkStart w:id="21" w:name="_Toc207704017"/>
      <w:r w:rsidRPr="001D4BC7">
        <w:t>Children and Family Treatment and Support Services (CFTSS)</w:t>
      </w:r>
      <w:bookmarkEnd w:id="21"/>
    </w:p>
    <w:p w14:paraId="06B63AD3" w14:textId="77777777" w:rsidR="00402F0A" w:rsidRPr="00015E7D" w:rsidRDefault="00402F0A" w:rsidP="00402F0A">
      <w:pPr>
        <w:spacing w:before="120" w:after="120"/>
      </w:pPr>
      <w:hyperlink r:id="rId17" w:history="1">
        <w:r w:rsidRPr="00CF7906">
          <w:rPr>
            <w:rStyle w:val="Hyperlink"/>
          </w:rPr>
          <w:t>Children and Family Treatment and Support Services (CFTSS)</w:t>
        </w:r>
      </w:hyperlink>
      <w:r>
        <w:rPr>
          <w:color w:val="000000"/>
        </w:rPr>
        <w:t xml:space="preserve"> </w:t>
      </w:r>
      <w:r w:rsidRPr="00015E7D">
        <w:t>are Medicaid state plan services that have been implemented under the Early and Periodic Screening, Diagnostic and Treatment (EPSDT) benefit to address behavioral health needs earlier in an individual’s life and prevent the onset or progression of behavioral health conditions. CFTSS are available to all Medicaid-eligible children/youth under age 21 who meet medical necessity and their families/caregivers. Services are delivered within the community where the child or youth lives, attends school, and/or engages in services. The CFTSS program includes the following six services:</w:t>
      </w:r>
    </w:p>
    <w:p w14:paraId="17FB633B" w14:textId="77777777" w:rsidR="00402F0A" w:rsidRPr="00015E7D" w:rsidRDefault="00402F0A" w:rsidP="005D787B">
      <w:pPr>
        <w:pStyle w:val="ListParagraph"/>
        <w:numPr>
          <w:ilvl w:val="0"/>
          <w:numId w:val="2"/>
        </w:numPr>
        <w:spacing w:before="120" w:after="120" w:line="240" w:lineRule="auto"/>
      </w:pPr>
      <w:r w:rsidRPr="00015E7D">
        <w:t>Other Licensed Practitioner (OLP)</w:t>
      </w:r>
    </w:p>
    <w:p w14:paraId="221A9937" w14:textId="77777777" w:rsidR="00402F0A" w:rsidRPr="00015E7D" w:rsidRDefault="00402F0A" w:rsidP="005D787B">
      <w:pPr>
        <w:pStyle w:val="ListParagraph"/>
        <w:numPr>
          <w:ilvl w:val="0"/>
          <w:numId w:val="2"/>
        </w:numPr>
        <w:spacing w:before="120" w:after="120" w:line="240" w:lineRule="auto"/>
      </w:pPr>
      <w:r w:rsidRPr="00015E7D">
        <w:t>Psychosocial Rehabilitation (PSR)</w:t>
      </w:r>
    </w:p>
    <w:p w14:paraId="71749118" w14:textId="77777777" w:rsidR="00402F0A" w:rsidRPr="00015E7D" w:rsidRDefault="00402F0A" w:rsidP="005D787B">
      <w:pPr>
        <w:pStyle w:val="ListParagraph"/>
        <w:numPr>
          <w:ilvl w:val="0"/>
          <w:numId w:val="2"/>
        </w:numPr>
        <w:spacing w:before="120" w:after="120" w:line="240" w:lineRule="auto"/>
      </w:pPr>
      <w:r w:rsidRPr="00015E7D">
        <w:t>Community Psychiatric Treatment and Supports (CPST)</w:t>
      </w:r>
    </w:p>
    <w:p w14:paraId="1FEF35D0" w14:textId="77777777" w:rsidR="00402F0A" w:rsidRPr="00015E7D" w:rsidRDefault="00402F0A" w:rsidP="005D787B">
      <w:pPr>
        <w:pStyle w:val="ListParagraph"/>
        <w:numPr>
          <w:ilvl w:val="0"/>
          <w:numId w:val="2"/>
        </w:numPr>
        <w:spacing w:before="120" w:after="120" w:line="240" w:lineRule="auto"/>
      </w:pPr>
      <w:r w:rsidRPr="00015E7D">
        <w:t>Family Peer Support Services (FPSS)</w:t>
      </w:r>
    </w:p>
    <w:p w14:paraId="36F03C36" w14:textId="77777777" w:rsidR="00402F0A" w:rsidRPr="00015E7D" w:rsidRDefault="00402F0A" w:rsidP="005D787B">
      <w:pPr>
        <w:pStyle w:val="ListParagraph"/>
        <w:numPr>
          <w:ilvl w:val="0"/>
          <w:numId w:val="2"/>
        </w:numPr>
        <w:spacing w:before="120" w:after="120" w:line="240" w:lineRule="auto"/>
      </w:pPr>
      <w:r w:rsidRPr="00015E7D">
        <w:t>Youth Peer Support (YPS)</w:t>
      </w:r>
    </w:p>
    <w:p w14:paraId="3942C0AE" w14:textId="77777777" w:rsidR="00402F0A" w:rsidRPr="00015E7D" w:rsidRDefault="00402F0A" w:rsidP="005D787B">
      <w:pPr>
        <w:pStyle w:val="ListParagraph"/>
        <w:numPr>
          <w:ilvl w:val="0"/>
          <w:numId w:val="2"/>
        </w:numPr>
        <w:spacing w:before="120" w:after="120" w:line="240" w:lineRule="auto"/>
      </w:pPr>
      <w:r w:rsidRPr="00015E7D">
        <w:t>Crisis Intervention</w:t>
      </w:r>
    </w:p>
    <w:p w14:paraId="50E69D9D" w14:textId="77777777" w:rsidR="00402F0A" w:rsidRPr="00015E7D" w:rsidRDefault="00402F0A" w:rsidP="00402F0A">
      <w:pPr>
        <w:spacing w:before="120" w:after="120"/>
      </w:pPr>
      <w:r w:rsidRPr="00015E7D">
        <w:t xml:space="preserve">CFTSS are intended to be individualized to the needs of children at any point in their development or treatment trajectory. A behavioral health need can be identified by multiple sources, including: parents or other caregivers; pediatricians; care managers; clinicians; school personnel; or the child themselves. Medical necessity determinations are completed by licensed practitioners. </w:t>
      </w:r>
    </w:p>
    <w:p w14:paraId="3A397809" w14:textId="77777777" w:rsidR="00402F0A" w:rsidRDefault="00402F0A" w:rsidP="00402F0A">
      <w:pPr>
        <w:spacing w:before="120" w:after="120"/>
      </w:pPr>
      <w:r>
        <w:t xml:space="preserve">In order to provide OLP or CPST, providers must obtain OMH licensure under a new category called the </w:t>
      </w:r>
      <w:hyperlink r:id="rId18" w:history="1">
        <w:r w:rsidRPr="00076A9E">
          <w:rPr>
            <w:rStyle w:val="Hyperlink"/>
          </w:rPr>
          <w:t>Children’s Mental Health Rehabilitation Services (CMHRS) Program</w:t>
        </w:r>
      </w:hyperlink>
      <w:r>
        <w:t xml:space="preserve">. Under this licensure category, OLP and CPST must be provided directly by the licensed CMHRS Program. PSR, FPSS, and YPS may be provided directly by the CMHRS Program or via agreement with another agency who is designated to provide these services. </w:t>
      </w:r>
    </w:p>
    <w:p w14:paraId="4FA2BC0F" w14:textId="77777777" w:rsidR="000C7134" w:rsidRDefault="000C7134" w:rsidP="00402F0A">
      <w:pPr>
        <w:pStyle w:val="Heading2"/>
      </w:pPr>
      <w:bookmarkStart w:id="22" w:name="_Toc207704018"/>
      <w:bookmarkStart w:id="23" w:name="foster"/>
    </w:p>
    <w:p w14:paraId="1DEF8D24" w14:textId="77777777" w:rsidR="000C7134" w:rsidRDefault="000C7134" w:rsidP="00402F0A">
      <w:pPr>
        <w:pStyle w:val="Heading2"/>
      </w:pPr>
    </w:p>
    <w:p w14:paraId="49BECF9B" w14:textId="31156C7C" w:rsidR="00402F0A" w:rsidRPr="001D4BC7" w:rsidRDefault="00402F0A" w:rsidP="00402F0A">
      <w:pPr>
        <w:pStyle w:val="Heading2"/>
        <w:rPr>
          <w:sz w:val="36"/>
          <w:szCs w:val="36"/>
        </w:rPr>
      </w:pPr>
      <w:r w:rsidRPr="001D4BC7">
        <w:lastRenderedPageBreak/>
        <w:t>Article 29</w:t>
      </w:r>
      <w:r>
        <w:t>-I</w:t>
      </w:r>
      <w:r w:rsidRPr="001D4BC7">
        <w:t xml:space="preserve"> Foster Care Services</w:t>
      </w:r>
      <w:bookmarkEnd w:id="22"/>
    </w:p>
    <w:bookmarkEnd w:id="23"/>
    <w:p w14:paraId="382F3B16" w14:textId="77777777" w:rsidR="00402F0A" w:rsidRDefault="00402F0A" w:rsidP="00402F0A">
      <w:pPr>
        <w:spacing w:before="120" w:after="120"/>
        <w:rPr>
          <w:color w:val="000000"/>
        </w:rPr>
      </w:pPr>
      <w:r>
        <w:rPr>
          <w:color w:val="000000"/>
        </w:rPr>
        <w:t xml:space="preserve">Children/youth who are placed in foster care statewide are mandatorily enrolled in MMC unless otherwise exempt or excluded. Voluntary Foster Care Agencies (VFCAs) are now licensed as </w:t>
      </w:r>
      <w:hyperlink r:id="rId19" w:history="1">
        <w:r w:rsidRPr="00063E30">
          <w:rPr>
            <w:rStyle w:val="Hyperlink"/>
          </w:rPr>
          <w:t>Article 29-I facilities</w:t>
        </w:r>
      </w:hyperlink>
      <w:r>
        <w:rPr>
          <w:color w:val="000000"/>
        </w:rPr>
        <w:t xml:space="preserve"> and provide the following services:</w:t>
      </w:r>
    </w:p>
    <w:p w14:paraId="06FA834D" w14:textId="77777777" w:rsidR="00402F0A" w:rsidRDefault="00402F0A" w:rsidP="005D787B">
      <w:pPr>
        <w:pStyle w:val="ListParagraph"/>
        <w:numPr>
          <w:ilvl w:val="0"/>
          <w:numId w:val="10"/>
        </w:numPr>
        <w:spacing w:before="120" w:after="120" w:line="240" w:lineRule="auto"/>
      </w:pPr>
      <w:r>
        <w:t>Mandatory Core Limited Health-Related Services (CLHRS)</w:t>
      </w:r>
    </w:p>
    <w:p w14:paraId="538BDF50" w14:textId="77777777" w:rsidR="00402F0A" w:rsidRDefault="00402F0A" w:rsidP="005D787B">
      <w:pPr>
        <w:pStyle w:val="ListParagraph"/>
        <w:numPr>
          <w:ilvl w:val="1"/>
          <w:numId w:val="10"/>
        </w:numPr>
        <w:spacing w:before="120" w:after="120" w:line="240" w:lineRule="auto"/>
      </w:pPr>
      <w:r>
        <w:t xml:space="preserve">Skill Building </w:t>
      </w:r>
    </w:p>
    <w:p w14:paraId="3802DEB3" w14:textId="77777777" w:rsidR="00402F0A" w:rsidRDefault="00402F0A" w:rsidP="005D787B">
      <w:pPr>
        <w:pStyle w:val="ListParagraph"/>
        <w:numPr>
          <w:ilvl w:val="1"/>
          <w:numId w:val="10"/>
        </w:numPr>
        <w:spacing w:before="120" w:after="120" w:line="240" w:lineRule="auto"/>
      </w:pPr>
      <w:r>
        <w:t xml:space="preserve">Nursing </w:t>
      </w:r>
      <w:r w:rsidRPr="008E63B1">
        <w:t>Services</w:t>
      </w:r>
    </w:p>
    <w:p w14:paraId="61263C50" w14:textId="77777777" w:rsidR="00402F0A" w:rsidRDefault="00402F0A" w:rsidP="005D787B">
      <w:pPr>
        <w:pStyle w:val="ListParagraph"/>
        <w:numPr>
          <w:ilvl w:val="1"/>
          <w:numId w:val="10"/>
        </w:numPr>
        <w:spacing w:before="120" w:after="120" w:line="240" w:lineRule="auto"/>
      </w:pPr>
      <w:r>
        <w:t>Medicaid Treatment Planning and Discharge Planning</w:t>
      </w:r>
    </w:p>
    <w:p w14:paraId="12E4A740" w14:textId="77777777" w:rsidR="00402F0A" w:rsidRDefault="00402F0A" w:rsidP="005D787B">
      <w:pPr>
        <w:pStyle w:val="ListParagraph"/>
        <w:numPr>
          <w:ilvl w:val="1"/>
          <w:numId w:val="10"/>
        </w:numPr>
        <w:spacing w:before="120" w:after="120" w:line="240" w:lineRule="auto"/>
      </w:pPr>
      <w:r>
        <w:t>Clinical Consultation/Supervision Services</w:t>
      </w:r>
    </w:p>
    <w:p w14:paraId="68F10216" w14:textId="77777777" w:rsidR="00402F0A" w:rsidRDefault="00402F0A" w:rsidP="005D787B">
      <w:pPr>
        <w:pStyle w:val="ListParagraph"/>
        <w:numPr>
          <w:ilvl w:val="1"/>
          <w:numId w:val="10"/>
        </w:numPr>
        <w:spacing w:before="120" w:after="120" w:line="240" w:lineRule="auto"/>
      </w:pPr>
      <w:r>
        <w:t>Managed Care Liaison/Administration</w:t>
      </w:r>
    </w:p>
    <w:p w14:paraId="00E9FCE8" w14:textId="77777777" w:rsidR="00402F0A" w:rsidRDefault="00402F0A" w:rsidP="005D787B">
      <w:pPr>
        <w:pStyle w:val="ListParagraph"/>
        <w:numPr>
          <w:ilvl w:val="0"/>
          <w:numId w:val="9"/>
        </w:numPr>
        <w:spacing w:before="120" w:after="120" w:line="240" w:lineRule="auto"/>
        <w:rPr>
          <w:color w:val="000000"/>
        </w:rPr>
      </w:pPr>
      <w:r>
        <w:rPr>
          <w:color w:val="000000"/>
        </w:rPr>
        <w:t>Optional Other Limited Health-Related Services (OLHRS)</w:t>
      </w:r>
    </w:p>
    <w:p w14:paraId="2B980DE0" w14:textId="77777777" w:rsidR="00402F0A" w:rsidRPr="004E4AD9" w:rsidRDefault="00402F0A" w:rsidP="005D787B">
      <w:pPr>
        <w:pStyle w:val="ListParagraph"/>
        <w:numPr>
          <w:ilvl w:val="1"/>
          <w:numId w:val="9"/>
        </w:numPr>
        <w:spacing w:before="120" w:after="120" w:line="240" w:lineRule="auto"/>
        <w:rPr>
          <w:color w:val="000000"/>
        </w:rPr>
      </w:pPr>
      <w:r w:rsidRPr="004E4AD9">
        <w:rPr>
          <w:color w:val="000000" w:themeColor="text1"/>
        </w:rPr>
        <w:t>CFTSS</w:t>
      </w:r>
    </w:p>
    <w:p w14:paraId="035909B2" w14:textId="77777777" w:rsidR="00402F0A" w:rsidRPr="008E63B1" w:rsidRDefault="00402F0A" w:rsidP="005D787B">
      <w:pPr>
        <w:pStyle w:val="ListParagraph"/>
        <w:numPr>
          <w:ilvl w:val="1"/>
          <w:numId w:val="9"/>
        </w:numPr>
        <w:spacing w:before="120" w:after="120" w:line="240" w:lineRule="auto"/>
        <w:rPr>
          <w:color w:val="000000" w:themeColor="text1"/>
        </w:rPr>
      </w:pPr>
      <w:r w:rsidRPr="008E63B1">
        <w:rPr>
          <w:color w:val="000000" w:themeColor="text1"/>
        </w:rPr>
        <w:t>HCBS</w:t>
      </w:r>
    </w:p>
    <w:p w14:paraId="09D59CF0" w14:textId="77777777" w:rsidR="00402F0A" w:rsidRDefault="00402F0A" w:rsidP="005D787B">
      <w:pPr>
        <w:pStyle w:val="ListParagraph"/>
        <w:numPr>
          <w:ilvl w:val="1"/>
          <w:numId w:val="9"/>
        </w:numPr>
        <w:spacing w:before="120" w:after="120" w:line="240" w:lineRule="auto"/>
        <w:rPr>
          <w:color w:val="000000"/>
        </w:rPr>
      </w:pPr>
      <w:r w:rsidRPr="008E63B1">
        <w:rPr>
          <w:color w:val="000000" w:themeColor="text1"/>
        </w:rPr>
        <w:t xml:space="preserve">Medicaid </w:t>
      </w:r>
      <w:r>
        <w:rPr>
          <w:color w:val="000000" w:themeColor="text1"/>
        </w:rPr>
        <w:t>s</w:t>
      </w:r>
      <w:r w:rsidRPr="008E63B1">
        <w:rPr>
          <w:color w:val="000000" w:themeColor="text1"/>
        </w:rPr>
        <w:t xml:space="preserve">tate </w:t>
      </w:r>
      <w:r>
        <w:rPr>
          <w:color w:val="000000" w:themeColor="text1"/>
        </w:rPr>
        <w:t>p</w:t>
      </w:r>
      <w:r w:rsidRPr="008E63B1">
        <w:rPr>
          <w:color w:val="000000" w:themeColor="text1"/>
        </w:rPr>
        <w:t>lan services, including screening, diagnosis, and treatment services.</w:t>
      </w:r>
    </w:p>
    <w:p w14:paraId="62F265E9" w14:textId="77777777" w:rsidR="00402F0A" w:rsidRPr="000F1006" w:rsidRDefault="00402F0A" w:rsidP="00402F0A">
      <w:pPr>
        <w:spacing w:before="120" w:after="120"/>
      </w:pPr>
      <w:r w:rsidRPr="000F1006">
        <w:t>For CLHRS, MMC plans are required to reimburse Article 29-I providers at the NYS Medicaid FFS rates (residual per diem). This mandate originally applied for a four-year transition period, which has since been extended by two years, through June 30, 2027. During this period, the Medicaid residual per diem rate is not included in the MMC plan premium capitation rate; the MMC plan bills the State for the Medicaid residual per diem as a pass through to the Article 29-I facility upon claim submission. At the end of the transition period, the State will reassess progress of the implementation and determine if transitional requirements should be extended.</w:t>
      </w:r>
    </w:p>
    <w:p w14:paraId="083C7F1E" w14:textId="77777777" w:rsidR="00402F0A" w:rsidRPr="000F1006" w:rsidRDefault="00402F0A" w:rsidP="00402F0A">
      <w:pPr>
        <w:spacing w:before="120" w:after="120"/>
      </w:pPr>
      <w:r>
        <w:t>For OLHRS, MMC plans</w:t>
      </w:r>
      <w:r w:rsidRPr="00F3791D">
        <w:t xml:space="preserve"> must reimburse </w:t>
      </w:r>
      <w:r>
        <w:t xml:space="preserve">Article 29-I providers </w:t>
      </w:r>
      <w:r w:rsidRPr="00F3791D">
        <w:t xml:space="preserve">at </w:t>
      </w:r>
      <w:r>
        <w:t>a set OLHRS fee schedule during the transition period</w:t>
      </w:r>
      <w:r w:rsidRPr="00F3791D">
        <w:t xml:space="preserve">, unless alternative arrangements have been made between plans and providers and have been approved by the </w:t>
      </w:r>
      <w:r>
        <w:t>State</w:t>
      </w:r>
      <w:r w:rsidRPr="00F3791D">
        <w:t xml:space="preserve"> (e.g., </w:t>
      </w:r>
      <w:r>
        <w:t>VBP</w:t>
      </w:r>
      <w:r w:rsidRPr="00F3791D">
        <w:t xml:space="preserve"> arrangements). OLHRS are included in the MMC</w:t>
      </w:r>
      <w:r>
        <w:t xml:space="preserve"> plan</w:t>
      </w:r>
      <w:r w:rsidRPr="00F3791D">
        <w:t xml:space="preserve"> premium capitation rate (at-risk).</w:t>
      </w:r>
    </w:p>
    <w:p w14:paraId="13E54724" w14:textId="77777777" w:rsidR="00402F0A" w:rsidRPr="000F1006" w:rsidRDefault="00402F0A" w:rsidP="00402F0A">
      <w:pPr>
        <w:spacing w:before="120" w:after="120"/>
        <w:rPr>
          <w:b/>
          <w:bCs/>
        </w:rPr>
      </w:pPr>
      <w:r w:rsidRPr="000F1006">
        <w:t xml:space="preserve">Plans are prohibited from conducting prior authorization for mandated assessments or CLHRS. </w:t>
      </w:r>
    </w:p>
    <w:p w14:paraId="5DE6EE1E" w14:textId="77777777" w:rsidR="00402F0A" w:rsidRPr="00FD5087" w:rsidRDefault="00402F0A" w:rsidP="00402F0A">
      <w:pPr>
        <w:pStyle w:val="Heading1"/>
      </w:pPr>
      <w:bookmarkStart w:id="24" w:name="_Toc207704019"/>
      <w:r w:rsidRPr="00FD5087">
        <w:t>Long Term Care</w:t>
      </w:r>
      <w:bookmarkEnd w:id="24"/>
    </w:p>
    <w:p w14:paraId="7F49DE05" w14:textId="77777777" w:rsidR="00402F0A" w:rsidRDefault="00402F0A" w:rsidP="00402F0A">
      <w:pPr>
        <w:spacing w:before="120" w:after="120"/>
      </w:pPr>
      <w:r>
        <w:t xml:space="preserve">In New York, the Medicaid long-term care population is defined as individuals who are assessed to need more than 120 days of long-term services and supports (LTSS). LTSS may be delivered in a residential setting, such as a nursing home or assisted living facility, or through community-based LTSS as supports to individuals living in community housing or their own homes. Assessments are performed by the independent statewide Conflict-Free Evaluation and Enrollment Center (CFEEC), run by the State’s contractor Maximus, using the </w:t>
      </w:r>
      <w:r w:rsidRPr="00602160">
        <w:t>NYS Universal Assessment System (UAS</w:t>
      </w:r>
      <w:r>
        <w:t>-NY</w:t>
      </w:r>
      <w:r w:rsidRPr="00602160">
        <w:t>)</w:t>
      </w:r>
      <w:r>
        <w:t>.</w:t>
      </w:r>
    </w:p>
    <w:p w14:paraId="4FD75FF3" w14:textId="774C1734" w:rsidR="00402F0A" w:rsidRDefault="00402F0A" w:rsidP="00402F0A">
      <w:pPr>
        <w:spacing w:before="120" w:after="120" w:line="259" w:lineRule="auto"/>
      </w:pPr>
      <w:r>
        <w:t xml:space="preserve">Under the first Medicaid Redesign Team’s Care Management for All initiative, NYS began transitioning the long-term care population into mandatory managed long-term care (MLTC) in </w:t>
      </w:r>
      <w:r>
        <w:lastRenderedPageBreak/>
        <w:t xml:space="preserve">2011. However, permanent nursing home residents were carved out again, with such individuals being disenrolled from MLTC plans starting in 2020. </w:t>
      </w:r>
      <w:r w:rsidR="008F37F6">
        <w:t xml:space="preserve">Total long term care enrollment has increased substantially despite this carve out, </w:t>
      </w:r>
      <w:r w:rsidR="00104DD0">
        <w:t xml:space="preserve">driven </w:t>
      </w:r>
      <w:r w:rsidR="003C4711">
        <w:t xml:space="preserve">primarily </w:t>
      </w:r>
      <w:r w:rsidR="00104DD0">
        <w:t xml:space="preserve">by </w:t>
      </w:r>
      <w:r w:rsidR="008F37F6">
        <w:t xml:space="preserve">the growth of the </w:t>
      </w:r>
      <w:r w:rsidR="008F37F6" w:rsidRPr="009A610A">
        <w:t>Consumer Directed Personal Assistance Program</w:t>
      </w:r>
      <w:r w:rsidR="008F37F6">
        <w:t xml:space="preserve"> (CDPAP)</w:t>
      </w:r>
      <w:r w:rsidR="00DD2947">
        <w:t xml:space="preserve"> in which </w:t>
      </w:r>
      <w:r w:rsidR="008F37F6">
        <w:t xml:space="preserve">family members </w:t>
      </w:r>
      <w:r w:rsidR="00DA60A2">
        <w:t>may</w:t>
      </w:r>
      <w:r w:rsidR="00165CF8">
        <w:t xml:space="preserve"> be compensated</w:t>
      </w:r>
      <w:r w:rsidR="008F37F6">
        <w:t xml:space="preserve"> </w:t>
      </w:r>
      <w:r w:rsidR="008F0072">
        <w:t xml:space="preserve">for serving </w:t>
      </w:r>
      <w:r w:rsidR="008F37F6">
        <w:t xml:space="preserve">as </w:t>
      </w:r>
      <w:r w:rsidR="00534997">
        <w:t>personal caregivers</w:t>
      </w:r>
      <w:r w:rsidR="008D2F68">
        <w:t>.</w:t>
      </w:r>
    </w:p>
    <w:p w14:paraId="1488C9F7" w14:textId="77777777" w:rsidR="00402F0A" w:rsidRDefault="00402F0A" w:rsidP="00402F0A">
      <w:pPr>
        <w:spacing w:before="120" w:after="120" w:line="259" w:lineRule="auto"/>
      </w:pPr>
      <w:r>
        <w:t>Most Medicaid LTC recipients are also eligible for and enrolled in Medicare (78 percent as of the December 2023 MLTC report).</w:t>
      </w:r>
    </w:p>
    <w:p w14:paraId="5EB8D6A8" w14:textId="77777777" w:rsidR="00402F0A" w:rsidRPr="001D4BC7" w:rsidRDefault="00402F0A" w:rsidP="00402F0A">
      <w:pPr>
        <w:pStyle w:val="Heading2"/>
        <w:rPr>
          <w:sz w:val="36"/>
          <w:szCs w:val="36"/>
        </w:rPr>
      </w:pPr>
      <w:bookmarkStart w:id="25" w:name="_Toc207704020"/>
      <w:r w:rsidRPr="001D4BC7">
        <w:t xml:space="preserve">Managed Long Term Care </w:t>
      </w:r>
      <w:r>
        <w:t xml:space="preserve">Plans </w:t>
      </w:r>
      <w:r w:rsidRPr="001D4BC7">
        <w:t>(MLTC</w:t>
      </w:r>
      <w:r>
        <w:t>Ps</w:t>
      </w:r>
      <w:r w:rsidRPr="001D4BC7">
        <w:t>)</w:t>
      </w:r>
      <w:bookmarkEnd w:id="25"/>
    </w:p>
    <w:p w14:paraId="740FC145" w14:textId="3D232DE3" w:rsidR="00402F0A" w:rsidRPr="00015E7D" w:rsidRDefault="00402F0A" w:rsidP="00402F0A">
      <w:pPr>
        <w:shd w:val="clear" w:color="auto" w:fill="FFFFFF"/>
        <w:spacing w:before="120" w:after="120"/>
      </w:pPr>
      <w:r w:rsidRPr="00015E7D">
        <w:t>Partially capitated managed long-term care plans (MLTCPs) manage the delivery of community-based LTSS for Medicaid enrollees with significant long-term care needs who wish to remain in their home/communities. MLTCPs are approved by DOH to provide coordinated delivery of care management services and a contracted network of LTSS. Enrollment in an MLTCP or a fully-capitated LTC plan</w:t>
      </w:r>
      <w:r w:rsidR="003A3A84" w:rsidRPr="00015E7D">
        <w:t xml:space="preserve"> like MAP </w:t>
      </w:r>
      <w:r w:rsidR="00D153DD" w:rsidRPr="00015E7D">
        <w:t xml:space="preserve">or </w:t>
      </w:r>
      <w:r w:rsidR="003A3A84" w:rsidRPr="00015E7D">
        <w:t>PACE</w:t>
      </w:r>
      <w:r w:rsidRPr="00015E7D">
        <w:t xml:space="preserve"> is mandatory for those who </w:t>
      </w:r>
      <w:r w:rsidR="00A70058" w:rsidRPr="00015E7D">
        <w:t xml:space="preserve">qualify for LTC, </w:t>
      </w:r>
      <w:r w:rsidRPr="00015E7D">
        <w:t>are over 21 and dually eligible for Medicare and Medicaid.</w:t>
      </w:r>
    </w:p>
    <w:p w14:paraId="1B7676E5" w14:textId="77777777" w:rsidR="00402F0A" w:rsidRPr="00D61237" w:rsidRDefault="00402F0A" w:rsidP="00402F0A">
      <w:pPr>
        <w:shd w:val="clear" w:color="auto" w:fill="FFFFFF"/>
        <w:spacing w:before="120" w:after="120"/>
        <w:rPr>
          <w:color w:val="000000"/>
        </w:rPr>
      </w:pPr>
      <w:r>
        <w:t xml:space="preserve">The benefit package of an MLTCP includes </w:t>
      </w:r>
      <w:r w:rsidRPr="00726A9B">
        <w:t>Medicaid-only long-term care</w:t>
      </w:r>
      <w:r>
        <w:t xml:space="preserve"> (e.g., home care, personal care, and adult day care)</w:t>
      </w:r>
      <w:r w:rsidRPr="00726A9B">
        <w:t>, ancillary, and some ambulatory services</w:t>
      </w:r>
      <w:r>
        <w:t>, although the specific array of services available to an enrollee depends on the MLTCP and on the enrollee’s care plan.</w:t>
      </w:r>
    </w:p>
    <w:p w14:paraId="2ABBE837" w14:textId="7754EB33" w:rsidR="00402F0A" w:rsidRDefault="00402F0A" w:rsidP="00402F0A">
      <w:r w:rsidRPr="00105273">
        <w:t xml:space="preserve">As of </w:t>
      </w:r>
      <w:r>
        <w:t>May 2025</w:t>
      </w:r>
      <w:r w:rsidRPr="00105273">
        <w:t xml:space="preserve">, there are </w:t>
      </w:r>
      <w:r>
        <w:t>14</w:t>
      </w:r>
      <w:r w:rsidRPr="00105273">
        <w:t xml:space="preserve"> MLTCPs statewide, with a total enrollment of 3</w:t>
      </w:r>
      <w:r>
        <w:t>04,858</w:t>
      </w:r>
      <w:r w:rsidRPr="00105273">
        <w:t xml:space="preserve">. </w:t>
      </w:r>
      <w:r w:rsidRPr="6993A0D2">
        <w:t>DO</w:t>
      </w:r>
      <w:r>
        <w:t>H’s</w:t>
      </w:r>
      <w:r w:rsidRPr="6993A0D2">
        <w:t xml:space="preserve"> current intention is to move as many enrollees as possible into integrated plans for dual eligibles while concurrently working to wind down the partially</w:t>
      </w:r>
      <w:r>
        <w:t xml:space="preserve"> </w:t>
      </w:r>
      <w:r w:rsidRPr="6993A0D2">
        <w:t>capitated MLTCP program</w:t>
      </w:r>
      <w:r>
        <w:t xml:space="preserve">. Most notably, the State required all MLTC operators to also offer a D-SNP as of January 2024. This resulted in significant consolidation among MLTC plans. </w:t>
      </w:r>
      <w:r w:rsidR="00F6146F">
        <w:t>DOH continues to use its State Medicaid Agency Contract (SMAC) authority with the MLTCP’s companion D-SNP</w:t>
      </w:r>
      <w:r w:rsidR="00703110">
        <w:t>s</w:t>
      </w:r>
      <w:r w:rsidR="000076C5">
        <w:t xml:space="preserve"> </w:t>
      </w:r>
      <w:r w:rsidR="000F4D3A">
        <w:t>to further implement requirements that align New York long-term Medicaid benefits with upcoming Medicare Final Rule change</w:t>
      </w:r>
      <w:r w:rsidR="00B44829">
        <w:t xml:space="preserve">s </w:t>
      </w:r>
      <w:r w:rsidR="000F4D3A">
        <w:t>for dual eligibles with a nursing facility level of care need.</w:t>
      </w:r>
    </w:p>
    <w:p w14:paraId="05C8423A" w14:textId="77777777" w:rsidR="00402F0A" w:rsidRPr="00710FD8" w:rsidRDefault="00402F0A" w:rsidP="00402F0A">
      <w:pPr>
        <w:pStyle w:val="Heading2"/>
        <w:rPr>
          <w:sz w:val="36"/>
          <w:szCs w:val="36"/>
        </w:rPr>
      </w:pPr>
      <w:bookmarkStart w:id="26" w:name="_Toc207704021"/>
      <w:r w:rsidRPr="001D4BC7">
        <w:t>Medicaid Advantage Plus (MAP)</w:t>
      </w:r>
      <w:bookmarkEnd w:id="26"/>
    </w:p>
    <w:p w14:paraId="6EA1600B" w14:textId="77777777" w:rsidR="00402F0A" w:rsidRPr="000C76D8" w:rsidRDefault="00402F0A" w:rsidP="00402F0A">
      <w:pPr>
        <w:spacing w:before="120" w:after="120"/>
      </w:pPr>
      <w:r w:rsidRPr="000C76D8">
        <w:t xml:space="preserve">The Medicaid Advantage Plus (MAP) program is an integrated managed care plan type for dually eligible adults (18 and over) that require LTSS for more than 120 days. Under the MAP model, the Medicare and Medicaid products remain technically separate, but are offered by the same issuer and operate in coordination with each other. </w:t>
      </w:r>
    </w:p>
    <w:p w14:paraId="3FEE6FF2" w14:textId="6300E64B" w:rsidR="00402F0A" w:rsidRPr="000C76D8" w:rsidRDefault="00402F0A" w:rsidP="00402F0A">
      <w:pPr>
        <w:spacing w:before="120" w:after="120"/>
      </w:pPr>
      <w:r w:rsidRPr="000C76D8">
        <w:t xml:space="preserve">The MAP Medicare product is a D-SNP, while the Medicaid product covers the MLTCP benefit described above. The MAP Medicare product meets the federal definition of a Fully Integrated Dual Eligible Special Needs Plan (FIDE SNP). MAP plans, as opposed to legacy “coordination-only” D-SNPs, are required to have exclusively aligned enrollment (the members in the plans must be the same). </w:t>
      </w:r>
    </w:p>
    <w:p w14:paraId="39496A9C" w14:textId="77777777" w:rsidR="00402F0A" w:rsidRPr="000C76D8" w:rsidRDefault="00402F0A" w:rsidP="00402F0A">
      <w:pPr>
        <w:spacing w:before="120" w:after="120"/>
      </w:pPr>
      <w:r w:rsidRPr="000C76D8">
        <w:lastRenderedPageBreak/>
        <w:t xml:space="preserve">The MAP Medicare benefit includes all standard Medicare-covered services, including inpatient and outpatient hospital services, primary care and specialty physician services, prescription drugs covered under Medicare Part D, and ancillary services. </w:t>
      </w:r>
    </w:p>
    <w:p w14:paraId="508BB864" w14:textId="77777777" w:rsidR="00402F0A" w:rsidRPr="000C76D8" w:rsidRDefault="00402F0A" w:rsidP="00402F0A">
      <w:pPr>
        <w:spacing w:before="120" w:after="120"/>
      </w:pPr>
      <w:r w:rsidRPr="000C76D8">
        <w:t>The MAP Medicaid benefit covers:</w:t>
      </w:r>
    </w:p>
    <w:p w14:paraId="1B2DA661" w14:textId="77777777" w:rsidR="00402F0A" w:rsidRPr="000C76D8" w:rsidRDefault="00402F0A" w:rsidP="005D787B">
      <w:pPr>
        <w:pStyle w:val="ListParagraph"/>
        <w:numPr>
          <w:ilvl w:val="0"/>
          <w:numId w:val="9"/>
        </w:numPr>
        <w:spacing w:before="120" w:after="120" w:line="240" w:lineRule="auto"/>
      </w:pPr>
      <w:r w:rsidRPr="000C76D8">
        <w:t xml:space="preserve">All services covered in the </w:t>
      </w:r>
      <w:hyperlink r:id="rId20" w:history="1">
        <w:r w:rsidRPr="001013B3">
          <w:rPr>
            <w:rStyle w:val="Hyperlink"/>
          </w:rPr>
          <w:t>MLT</w:t>
        </w:r>
        <w:r>
          <w:rPr>
            <w:rStyle w:val="Hyperlink"/>
          </w:rPr>
          <w:t>CP</w:t>
        </w:r>
      </w:hyperlink>
      <w:r w:rsidRPr="003F0DBC">
        <w:rPr>
          <w:color w:val="000000"/>
        </w:rPr>
        <w:t xml:space="preserve"> </w:t>
      </w:r>
      <w:r w:rsidRPr="000C76D8">
        <w:t>benefit package;</w:t>
      </w:r>
    </w:p>
    <w:p w14:paraId="415486BE" w14:textId="77777777" w:rsidR="00402F0A" w:rsidRPr="000C76D8" w:rsidRDefault="00402F0A" w:rsidP="005D787B">
      <w:pPr>
        <w:pStyle w:val="ListParagraph"/>
        <w:numPr>
          <w:ilvl w:val="0"/>
          <w:numId w:val="9"/>
        </w:numPr>
        <w:spacing w:before="120" w:after="120" w:line="240" w:lineRule="auto"/>
      </w:pPr>
      <w:r w:rsidRPr="000C76D8">
        <w:t>Services beyond the Medicare limits, such as home health services not covered by Medicare; and</w:t>
      </w:r>
    </w:p>
    <w:p w14:paraId="62C20701" w14:textId="77777777" w:rsidR="00402F0A" w:rsidRPr="000C76D8" w:rsidRDefault="00402F0A" w:rsidP="005D787B">
      <w:pPr>
        <w:pStyle w:val="ListParagraph"/>
        <w:numPr>
          <w:ilvl w:val="0"/>
          <w:numId w:val="9"/>
        </w:numPr>
        <w:spacing w:before="120" w:after="120" w:line="240" w:lineRule="auto"/>
      </w:pPr>
      <w:r w:rsidRPr="000C76D8">
        <w:t xml:space="preserve">All Medicare cost-sharing. </w:t>
      </w:r>
    </w:p>
    <w:p w14:paraId="4893A55A" w14:textId="77777777" w:rsidR="00402F0A" w:rsidRPr="000C76D8" w:rsidRDefault="00402F0A" w:rsidP="00402F0A">
      <w:pPr>
        <w:spacing w:before="120" w:after="120"/>
      </w:pPr>
      <w:r w:rsidRPr="000C76D8">
        <w:t xml:space="preserve">Services not included in the MAP benefit include hospice services and services carved out of Medicaid managed care (e.g., assisted living programs). These services may be available through Medicare or Medicaid FFS. Behavioral health services were added to the MAP benefit package on January 1, 2023. </w:t>
      </w:r>
    </w:p>
    <w:p w14:paraId="633B4E6D" w14:textId="77777777" w:rsidR="00402F0A" w:rsidRPr="000C76D8" w:rsidRDefault="00402F0A" w:rsidP="00402F0A">
      <w:pPr>
        <w:spacing w:before="120" w:after="120"/>
      </w:pPr>
      <w:r w:rsidRPr="000C76D8">
        <w:t xml:space="preserve">Utilization management and eligibility requirements for mental health and addiction services included in the MAP benefit package mirror the requirements in Medicaid HARP and mainstream plans. MAP plans currently still involve separate enrollment processes, revenue streams, and review of marketing materials. However, further integration efforts are underway at both the federal and state levels. </w:t>
      </w:r>
    </w:p>
    <w:p w14:paraId="753C988A" w14:textId="77777777" w:rsidR="00402F0A" w:rsidRPr="001D4BC7" w:rsidRDefault="00402F0A" w:rsidP="00402F0A">
      <w:pPr>
        <w:pStyle w:val="Heading2"/>
        <w:rPr>
          <w:sz w:val="36"/>
          <w:szCs w:val="36"/>
        </w:rPr>
      </w:pPr>
      <w:bookmarkStart w:id="27" w:name="_Toc207704022"/>
      <w:r w:rsidRPr="009527B2">
        <w:t>Program of All-Inclusive Care for the Elderly (PACE)</w:t>
      </w:r>
      <w:bookmarkEnd w:id="27"/>
      <w:r>
        <w:t xml:space="preserve"> </w:t>
      </w:r>
    </w:p>
    <w:p w14:paraId="30B4EA62" w14:textId="77777777" w:rsidR="00402F0A" w:rsidRDefault="00402F0A" w:rsidP="00402F0A">
      <w:pPr>
        <w:spacing w:before="120" w:after="120"/>
      </w:pPr>
      <w:r>
        <w:t>A Program</w:t>
      </w:r>
      <w:r w:rsidRPr="00A473FE">
        <w:t xml:space="preserve"> of All-Inclusive Care for the Elderly (PACE)</w:t>
      </w:r>
      <w:r>
        <w:t xml:space="preserve"> is a fully-capitated payment and service model under which a single PACE Organization provides a community-based alternative to nursing homes. PACE programs center on a physical site location called a PACE Center, where the PACE Organization directly provides an array of community-based long-term care and medical supports. These services are supplemented by in-home and referral services as needed by the PACE enrollee.</w:t>
      </w:r>
    </w:p>
    <w:p w14:paraId="27907C02" w14:textId="77777777" w:rsidR="00402F0A" w:rsidRDefault="00402F0A" w:rsidP="00402F0A">
      <w:pPr>
        <w:spacing w:before="120" w:after="120"/>
      </w:pPr>
      <w:r>
        <w:t xml:space="preserve">The PACE program was permanently authorized in federal regulation in 1997, making it the oldest type of integrated plan. </w:t>
      </w:r>
      <w:r w:rsidRPr="00A473FE">
        <w:t xml:space="preserve">PACE programs </w:t>
      </w:r>
      <w:r>
        <w:t xml:space="preserve">have a single, integrated </w:t>
      </w:r>
      <w:r w:rsidRPr="00A473FE">
        <w:t>enrollment process, regulatory framework, approval stream for marketing</w:t>
      </w:r>
      <w:r>
        <w:t xml:space="preserve"> materials</w:t>
      </w:r>
      <w:r w:rsidRPr="00A473FE">
        <w:t xml:space="preserve">, </w:t>
      </w:r>
      <w:r>
        <w:t xml:space="preserve">grievances and appeals </w:t>
      </w:r>
      <w:r w:rsidRPr="00A473FE">
        <w:t xml:space="preserve">process, and </w:t>
      </w:r>
      <w:r>
        <w:t xml:space="preserve">a combined Medicare and Medicaid </w:t>
      </w:r>
      <w:r w:rsidRPr="00A473FE">
        <w:t>revenue stream</w:t>
      </w:r>
      <w:r>
        <w:t>. Individuals eligible to enroll in PACE must:</w:t>
      </w:r>
    </w:p>
    <w:p w14:paraId="6CF21A5D" w14:textId="77777777" w:rsidR="00402F0A" w:rsidRDefault="00402F0A" w:rsidP="005D787B">
      <w:pPr>
        <w:pStyle w:val="ListParagraph"/>
        <w:numPr>
          <w:ilvl w:val="0"/>
          <w:numId w:val="15"/>
        </w:numPr>
        <w:spacing w:before="120" w:after="120" w:line="240" w:lineRule="auto"/>
      </w:pPr>
      <w:r>
        <w:t>Be 55 years of age or older;</w:t>
      </w:r>
    </w:p>
    <w:p w14:paraId="1EEA401F" w14:textId="77777777" w:rsidR="00402F0A" w:rsidRDefault="00402F0A" w:rsidP="005D787B">
      <w:pPr>
        <w:pStyle w:val="ListParagraph"/>
        <w:numPr>
          <w:ilvl w:val="0"/>
          <w:numId w:val="15"/>
        </w:numPr>
        <w:spacing w:before="120" w:after="120" w:line="240" w:lineRule="auto"/>
      </w:pPr>
      <w:r>
        <w:t>Have Medicaid and/or Medicare and/or a willingness to pay privately;</w:t>
      </w:r>
    </w:p>
    <w:p w14:paraId="1BAAB31D" w14:textId="77777777" w:rsidR="00402F0A" w:rsidRDefault="00402F0A" w:rsidP="005D787B">
      <w:pPr>
        <w:pStyle w:val="ListParagraph"/>
        <w:numPr>
          <w:ilvl w:val="0"/>
          <w:numId w:val="15"/>
        </w:numPr>
        <w:spacing w:before="120" w:after="120" w:line="240" w:lineRule="auto"/>
      </w:pPr>
      <w:r>
        <w:t>Require a nursing home level of care; and</w:t>
      </w:r>
    </w:p>
    <w:p w14:paraId="7EA62ECE" w14:textId="77777777" w:rsidR="00402F0A" w:rsidRDefault="00402F0A" w:rsidP="005D787B">
      <w:pPr>
        <w:pStyle w:val="ListParagraph"/>
        <w:numPr>
          <w:ilvl w:val="0"/>
          <w:numId w:val="15"/>
        </w:numPr>
        <w:spacing w:before="120" w:after="120" w:line="240" w:lineRule="auto"/>
      </w:pPr>
      <w:r>
        <w:t>Live in the service area of a PACE program.</w:t>
      </w:r>
    </w:p>
    <w:p w14:paraId="485E9BC8" w14:textId="77777777" w:rsidR="00402F0A" w:rsidRDefault="00402F0A" w:rsidP="00402F0A">
      <w:pPr>
        <w:spacing w:before="120" w:after="120"/>
      </w:pPr>
      <w:r>
        <w:t xml:space="preserve">In practice, the vast majority of PACE enrollees are dual eligibles. </w:t>
      </w:r>
    </w:p>
    <w:p w14:paraId="708B26BD" w14:textId="77777777" w:rsidR="00402F0A" w:rsidRDefault="00402F0A" w:rsidP="00402F0A">
      <w:pPr>
        <w:spacing w:before="120" w:after="120"/>
      </w:pPr>
      <w:r w:rsidRPr="00A473FE">
        <w:t xml:space="preserve">All </w:t>
      </w:r>
      <w:r>
        <w:t>PACE</w:t>
      </w:r>
      <w:r w:rsidRPr="00A473FE">
        <w:t xml:space="preserve"> services are </w:t>
      </w:r>
      <w:r>
        <w:t>coordinated</w:t>
      </w:r>
      <w:r w:rsidRPr="00A473FE">
        <w:t xml:space="preserve"> by an </w:t>
      </w:r>
      <w:r>
        <w:t>inter</w:t>
      </w:r>
      <w:r w:rsidRPr="00A473FE">
        <w:t>disciplinary ca</w:t>
      </w:r>
      <w:r>
        <w:t>re</w:t>
      </w:r>
      <w:r w:rsidRPr="00A473FE">
        <w:t xml:space="preserve"> management team</w:t>
      </w:r>
      <w:r>
        <w:t xml:space="preserve"> (IDT),</w:t>
      </w:r>
      <w:r w:rsidRPr="00A473FE">
        <w:t xml:space="preserve"> usually </w:t>
      </w:r>
      <w:r>
        <w:t xml:space="preserve">located </w:t>
      </w:r>
      <w:r w:rsidRPr="00A473FE">
        <w:t>at the PACE Cente</w:t>
      </w:r>
      <w:r>
        <w:t xml:space="preserve">r. The comprehensive PACE benefit includes all Medicare and Medicaid benefits, including inpatient and outpatient hospital services, primary care and specialty physician </w:t>
      </w:r>
      <w:r>
        <w:lastRenderedPageBreak/>
        <w:t>services, outpatient prescription drugs covered under Medicare Part D, ancillary services, and long-term care services, including nursing home stays when necessary. PACE programs may also cover other services if the IDT deems them necessary.</w:t>
      </w:r>
    </w:p>
    <w:p w14:paraId="255A0DC2" w14:textId="09A42B05" w:rsidR="00402F0A" w:rsidRDefault="00402F0A" w:rsidP="00402F0A">
      <w:pPr>
        <w:spacing w:before="120" w:after="120"/>
      </w:pPr>
      <w:r>
        <w:t xml:space="preserve">In 2022, New York passed legislation to implement a new licensure and application process for PACE that would consolidate the separate requirements under Article 28, Article 36, and Article 44 of New York’s Public Health Law into a single license under Article 29-EE. </w:t>
      </w:r>
      <w:r w:rsidRPr="00EC228F">
        <w:t xml:space="preserve">Current PACE organizations </w:t>
      </w:r>
      <w:r>
        <w:t xml:space="preserve">are </w:t>
      </w:r>
      <w:r w:rsidRPr="00EC228F">
        <w:t>continu</w:t>
      </w:r>
      <w:r>
        <w:t>ing</w:t>
      </w:r>
      <w:r w:rsidRPr="00EC228F">
        <w:t xml:space="preserve"> to operate as licensed</w:t>
      </w:r>
      <w:r>
        <w:t xml:space="preserve"> for now. </w:t>
      </w:r>
      <w:r w:rsidRPr="00EC228F">
        <w:t xml:space="preserve">New PACE applications </w:t>
      </w:r>
      <w:r>
        <w:t>will</w:t>
      </w:r>
      <w:r w:rsidRPr="00EC228F">
        <w:t xml:space="preserve"> be required to comply with the new licensure and application process established by these regulations.</w:t>
      </w:r>
      <w:r>
        <w:t xml:space="preserve"> Proposed regulations were published in August 2024</w:t>
      </w:r>
      <w:r w:rsidR="00304089">
        <w:t>,</w:t>
      </w:r>
      <w:r>
        <w:t xml:space="preserve"> but </w:t>
      </w:r>
      <w:r w:rsidR="00304089">
        <w:t>expired in August 2025.</w:t>
      </w:r>
      <w:r>
        <w:t xml:space="preserve"> </w:t>
      </w:r>
    </w:p>
    <w:p w14:paraId="0ACE90F0" w14:textId="77777777" w:rsidR="00402F0A" w:rsidRDefault="00402F0A" w:rsidP="00402F0A">
      <w:pPr>
        <w:pStyle w:val="Heading2"/>
      </w:pPr>
      <w:bookmarkStart w:id="28" w:name="_Toc207704023"/>
      <w:r>
        <w:t>LTSS Providers</w:t>
      </w:r>
      <w:bookmarkEnd w:id="28"/>
    </w:p>
    <w:p w14:paraId="319B0947" w14:textId="77777777" w:rsidR="00402F0A" w:rsidRPr="001D4BC7" w:rsidRDefault="00402F0A" w:rsidP="00402F0A">
      <w:pPr>
        <w:pStyle w:val="Heading3"/>
      </w:pPr>
      <w:bookmarkStart w:id="29" w:name="_Toc207704024"/>
      <w:r>
        <w:t>Acute, Residential, Institutional, and Site-Based Providers</w:t>
      </w:r>
      <w:bookmarkEnd w:id="29"/>
    </w:p>
    <w:p w14:paraId="23BFA437" w14:textId="77777777" w:rsidR="00402F0A" w:rsidRPr="009A610A" w:rsidRDefault="00402F0A" w:rsidP="00402F0A">
      <w:pPr>
        <w:pStyle w:val="Heading4"/>
      </w:pPr>
      <w:r w:rsidRPr="009A610A">
        <w:t>Long-</w:t>
      </w:r>
      <w:r>
        <w:t>T</w:t>
      </w:r>
      <w:r w:rsidRPr="009A610A">
        <w:t>erm Acute Care Hospital (LTACH)</w:t>
      </w:r>
    </w:p>
    <w:p w14:paraId="0A0B8709" w14:textId="77777777" w:rsidR="00402F0A" w:rsidRPr="000F1006" w:rsidRDefault="00402F0A" w:rsidP="00402F0A">
      <w:pPr>
        <w:spacing w:before="120" w:after="120"/>
      </w:pPr>
      <w:r w:rsidRPr="000F1006">
        <w:t>LTACHs are certified acute care hospitals that provide care for patients with multiple serious medical conditions that require lengthy inpatient stays. An LTACH’s average length of stay must be 25 days or greater, and residents must require intensive medical care. Medicare reimburses LTACHs through a special LTACH PPS.</w:t>
      </w:r>
    </w:p>
    <w:p w14:paraId="77480875" w14:textId="77777777" w:rsidR="00402F0A" w:rsidRDefault="00402F0A" w:rsidP="00402F0A">
      <w:pPr>
        <w:pStyle w:val="Heading4"/>
      </w:pPr>
      <w:r w:rsidRPr="009A610A">
        <w:t xml:space="preserve">Skilled Nursing Facility </w:t>
      </w:r>
      <w:r>
        <w:t xml:space="preserve">(SNF) </w:t>
      </w:r>
    </w:p>
    <w:p w14:paraId="21796671" w14:textId="1450B699" w:rsidR="00402F0A" w:rsidRPr="000F1006" w:rsidRDefault="00402F0A" w:rsidP="00402F0A">
      <w:pPr>
        <w:spacing w:before="120" w:after="120"/>
      </w:pPr>
      <w:r w:rsidRPr="000F1006">
        <w:t xml:space="preserve">A SNF (or nursing home) is an inpatient residential health facility staffed by licensed nurses and other medical professionals on a 24/7 basis. Along with skilled nursing, nursing homes provide short-term rehabilitation and/or long-term residential care for individuals who need help with activities of daily living (ADLs). </w:t>
      </w:r>
    </w:p>
    <w:p w14:paraId="495BD325" w14:textId="77777777" w:rsidR="00402F0A" w:rsidRDefault="00402F0A" w:rsidP="00402F0A">
      <w:pPr>
        <w:pStyle w:val="Heading4"/>
      </w:pPr>
      <w:r>
        <w:t xml:space="preserve">Adult Care Facilities (ACFs) and </w:t>
      </w:r>
      <w:r w:rsidRPr="009A610A">
        <w:t xml:space="preserve">Assisted Living </w:t>
      </w:r>
      <w:r>
        <w:t>Programs (ALP)</w:t>
      </w:r>
    </w:p>
    <w:p w14:paraId="62C000F7" w14:textId="1CC6DE74" w:rsidR="00402F0A" w:rsidRPr="000F1006" w:rsidRDefault="00402F0A" w:rsidP="00402F0A">
      <w:pPr>
        <w:spacing w:before="120" w:after="120"/>
      </w:pPr>
      <w:r w:rsidRPr="000F1006">
        <w:t xml:space="preserve">An ACF is a residential care program for people who do not meet a nursing home level of care, but still need assistance with ADLs and/or are unable to live independently. An ALP is defined as an ACF that arranges for home health services and other skilled help for its residents. ACFs are regulated under Article 46-B of the Public Health Law. </w:t>
      </w:r>
    </w:p>
    <w:p w14:paraId="7AF1EB5A" w14:textId="77777777" w:rsidR="00402F0A" w:rsidRDefault="00402F0A" w:rsidP="00402F0A">
      <w:pPr>
        <w:pStyle w:val="Heading4"/>
      </w:pPr>
      <w:r w:rsidRPr="009A610A">
        <w:t xml:space="preserve">Hospice Agency </w:t>
      </w:r>
    </w:p>
    <w:p w14:paraId="2DDEE3EB" w14:textId="22FE9C82" w:rsidR="00402F0A" w:rsidRPr="000F1006" w:rsidRDefault="00402F0A" w:rsidP="00402F0A">
      <w:pPr>
        <w:spacing w:before="120" w:after="120"/>
      </w:pPr>
      <w:r w:rsidRPr="000F1006">
        <w:t xml:space="preserve">A hospice program is a coordinated home-based and inpatient care model that offers palliative care for end-of-life patients and their families. Hospices offer medical care to help someone with a terminal illness (with a life expectancy of less than one year) to live as well as possible for as long as possible. Hospices are licensed by DOH under Article 40 of the Public Health Law. </w:t>
      </w:r>
    </w:p>
    <w:p w14:paraId="5ADA6A63" w14:textId="77777777" w:rsidR="00402F0A" w:rsidRDefault="00402F0A" w:rsidP="00402F0A">
      <w:pPr>
        <w:pStyle w:val="Heading4"/>
      </w:pPr>
      <w:r w:rsidRPr="009A610A">
        <w:t xml:space="preserve">Adult Day Health Care </w:t>
      </w:r>
      <w:r>
        <w:t xml:space="preserve">(ADHC) </w:t>
      </w:r>
    </w:p>
    <w:p w14:paraId="083044C4" w14:textId="5BE2B31F" w:rsidR="00402F0A" w:rsidRPr="000F1006" w:rsidRDefault="00402F0A" w:rsidP="00402F0A">
      <w:pPr>
        <w:spacing w:before="120" w:after="120"/>
      </w:pPr>
      <w:r w:rsidRPr="000F1006">
        <w:t xml:space="preserve">ADHC programs provide a program of medically-supervised day services for individuals who have functional impairments. Services may include nursing, transportation, leisure activities, physical </w:t>
      </w:r>
      <w:r w:rsidRPr="000F1006">
        <w:lastRenderedPageBreak/>
        <w:t xml:space="preserve">therapy, nutrition assessment, and medical social services, among others. ADHC programs may be co-located with a nursing home or be separately established offsite. </w:t>
      </w:r>
    </w:p>
    <w:p w14:paraId="3ECABCCA" w14:textId="77777777" w:rsidR="00402F0A" w:rsidRDefault="00402F0A" w:rsidP="00402F0A">
      <w:pPr>
        <w:pStyle w:val="Heading4"/>
      </w:pPr>
      <w:r>
        <w:t xml:space="preserve">Social Adult Day Care (SADC) </w:t>
      </w:r>
    </w:p>
    <w:p w14:paraId="02B963F5" w14:textId="77777777" w:rsidR="00402F0A" w:rsidRPr="000F1006" w:rsidRDefault="00402F0A" w:rsidP="00402F0A">
      <w:pPr>
        <w:spacing w:before="120" w:after="120"/>
      </w:pPr>
      <w:r w:rsidRPr="000F1006">
        <w:t xml:space="preserve">SADC programs provide day services for individuals with functional impairments. Although an SADC program provides a structured and protective setting for these individuals, they do not have medical supervision like an ADHC. SADC programs are not licensed by DOH. In June 2015, DOH, the State Office for Aging, and the Office of the Medicaid Inspector General (OMIG) adopted a certification process for SADCs that contract with MLTCPs, in which SADCs register with OMIG. </w:t>
      </w:r>
    </w:p>
    <w:p w14:paraId="1D3C67ED" w14:textId="77777777" w:rsidR="00402F0A" w:rsidRPr="005B20EA" w:rsidRDefault="00402F0A" w:rsidP="00402F0A">
      <w:pPr>
        <w:pStyle w:val="Heading3"/>
      </w:pPr>
      <w:bookmarkStart w:id="30" w:name="_Toc207704025"/>
      <w:r>
        <w:t>Home and Community-Based Service Providers</w:t>
      </w:r>
      <w:bookmarkEnd w:id="30"/>
    </w:p>
    <w:p w14:paraId="316BB23D" w14:textId="77777777" w:rsidR="00402F0A" w:rsidRDefault="00402F0A" w:rsidP="00402F0A">
      <w:pPr>
        <w:pStyle w:val="Heading4"/>
      </w:pPr>
      <w:r w:rsidRPr="009A610A">
        <w:t xml:space="preserve">Certified Home Health Agency </w:t>
      </w:r>
      <w:r>
        <w:t xml:space="preserve">(CHHA) </w:t>
      </w:r>
    </w:p>
    <w:p w14:paraId="0BA18F0D" w14:textId="77777777" w:rsidR="00402F0A" w:rsidRPr="000F1006" w:rsidRDefault="00402F0A" w:rsidP="00402F0A">
      <w:pPr>
        <w:spacing w:before="120" w:after="120"/>
      </w:pPr>
      <w:r w:rsidRPr="000F1006">
        <w:t>A CHHA is a Medicare-certified home health agency that provides part-time, intermittent services to individuals who need intermediate and skilled home health care. A CHHA typically offers post-acute services after an individual is discharged from a hospital. CHHAs may also provide longer-term nursing and home health aide services and can provide or arrange for other services including physical, occupational, and speech therapy, medical supplies and equipment, and social worker and nutrition services. CHHAs are licensed by DOH under Article 36 of the Public Health Law and under federal law.</w:t>
      </w:r>
    </w:p>
    <w:p w14:paraId="4FF9A4BD" w14:textId="77777777" w:rsidR="00402F0A" w:rsidRDefault="00402F0A" w:rsidP="00402F0A">
      <w:pPr>
        <w:pStyle w:val="Heading4"/>
      </w:pPr>
      <w:r w:rsidRPr="009A610A">
        <w:t xml:space="preserve">Licensed Home Care Service Agency </w:t>
      </w:r>
      <w:r>
        <w:t>(LHCSA)</w:t>
      </w:r>
    </w:p>
    <w:p w14:paraId="3731B749" w14:textId="77777777" w:rsidR="00402F0A" w:rsidRPr="000F1006" w:rsidRDefault="00402F0A" w:rsidP="00402F0A">
      <w:pPr>
        <w:spacing w:before="120" w:after="120"/>
      </w:pPr>
      <w:r w:rsidRPr="000F1006">
        <w:t xml:space="preserve">A LHCSA is a home health agency that may provide hourly nursing, personal care, and other related services to individuals who require assistance with ADLs. LHCSAs are licensed by DOH under Article 36, but not under federal law. NYS has sought to limit the growth in LHCSAs in recent years through licensure moratoria, limits on MLTCP networks, and demonstration of need requirements. Currently, DOH plans to release a Request for Offers (RFO) that would select a limited number of LHCSAs for ongoing participation in the Medicaid program. </w:t>
      </w:r>
    </w:p>
    <w:p w14:paraId="09513015" w14:textId="77777777" w:rsidR="00402F0A" w:rsidRDefault="00402F0A" w:rsidP="00402F0A">
      <w:pPr>
        <w:pStyle w:val="Heading4"/>
      </w:pPr>
      <w:r w:rsidRPr="009A610A">
        <w:t xml:space="preserve">Consumer Directed Personal Assistance Program </w:t>
      </w:r>
      <w:r>
        <w:t xml:space="preserve">(CDPAP) </w:t>
      </w:r>
    </w:p>
    <w:p w14:paraId="0AAE50D3" w14:textId="77777777" w:rsidR="00402F0A" w:rsidRPr="000F1006" w:rsidRDefault="00402F0A" w:rsidP="00402F0A">
      <w:pPr>
        <w:spacing w:before="120" w:after="120"/>
      </w:pPr>
      <w:r w:rsidRPr="000F1006">
        <w:t>CDPAP allows individuals to choose their own personal care aide to address their home health needs. CDPAP is available to chronically ill or physically disabled individuals who have a medical need for help with ADLs or skilled nursing services. A consumer-directed aide may provide any of the services provided by personal care and home health aides. The consumer will work with a Fiscal Intermediary (FI) organization, which manages hours and payroll for the CDPAP aide on the consumer’s behalf, but the consumer has responsibility for hiring, training, and supervision.</w:t>
      </w:r>
    </w:p>
    <w:p w14:paraId="5C5F7529" w14:textId="77777777" w:rsidR="00402F0A" w:rsidRPr="000F1006" w:rsidRDefault="00402F0A" w:rsidP="00402F0A">
      <w:pPr>
        <w:spacing w:before="120" w:after="120"/>
      </w:pPr>
      <w:r w:rsidRPr="000F1006">
        <w:t xml:space="preserve">The CDPAP program has grown exponentially in size and expense over the last decade, reaching about $9 billion annually as of 2025. This has prompted several changes to the program, culminating in the FY 2025 Budget’s authorization for the state to contract with a single, statewide FI to oversee the delivery of FI services for CDPAP. This proposal has become politically </w:t>
      </w:r>
      <w:r w:rsidRPr="000F1006">
        <w:lastRenderedPageBreak/>
        <w:t xml:space="preserve">controversial, and full implementation has been delayed due to various issues, including a court case expected to be resolved in 2025. </w:t>
      </w:r>
    </w:p>
    <w:p w14:paraId="551E7CCF" w14:textId="77777777" w:rsidR="00402F0A" w:rsidRPr="001D4BC7" w:rsidRDefault="00402F0A" w:rsidP="00402F0A">
      <w:pPr>
        <w:pStyle w:val="Heading1"/>
        <w:rPr>
          <w:sz w:val="48"/>
          <w:szCs w:val="48"/>
        </w:rPr>
      </w:pPr>
      <w:bookmarkStart w:id="31" w:name="_Toc207704026"/>
      <w:r>
        <w:t>OPWDD System Transformation</w:t>
      </w:r>
      <w:bookmarkEnd w:id="31"/>
    </w:p>
    <w:p w14:paraId="0DA70604" w14:textId="7E30A058" w:rsidR="00402F0A" w:rsidRDefault="00402F0A" w:rsidP="00402F0A">
      <w:pPr>
        <w:spacing w:before="120" w:after="120"/>
      </w:pPr>
      <w:r>
        <w:t xml:space="preserve">The </w:t>
      </w:r>
      <w:r w:rsidR="008F37F6">
        <w:t>Office for People with Developmental Disabilities (</w:t>
      </w:r>
      <w:r>
        <w:t>OPWDD</w:t>
      </w:r>
      <w:r w:rsidR="008F37F6">
        <w:t>)</w:t>
      </w:r>
      <w:r>
        <w:t xml:space="preserve"> service system consists of State-operated services and voluntary agencies that provide services to people with I/DD through the OPWDD Comprehensive 1915(c) HCBS waiver. In general, OPWDD services include residential services, day programs, clinical services and therapy services, and other ancillary supports. </w:t>
      </w:r>
    </w:p>
    <w:p w14:paraId="5B9E81BF" w14:textId="77777777" w:rsidR="00402F0A" w:rsidRDefault="00402F0A" w:rsidP="00402F0A">
      <w:pPr>
        <w:spacing w:before="120" w:after="120"/>
      </w:pPr>
      <w:r>
        <w:t xml:space="preserve">In 2018, OPWDD published a “Draft Transition Plan for HCBS, Health Home Care Management for Individuals with I/DD, and the Development of Specialized Managed Care,” outlining a multi-year pathway to create specialty provider-led managed care plans. These initiatives began with the implementation of I/DD Health Homes, or Care Coordination Organizations (CCOs), and the consolidation of services under the OPWDD Comprehensive Waiver. The Transition Plan also included the creation of a new managed care model under which the enrollment of people with I/DD in qualified plans, called Specialized I/DD Plans – Provider Led (SIPs-PL), would eventually become mandatory. </w:t>
      </w:r>
    </w:p>
    <w:p w14:paraId="6AE4625D" w14:textId="77777777" w:rsidR="00402F0A" w:rsidRDefault="00402F0A" w:rsidP="00402F0A">
      <w:pPr>
        <w:spacing w:before="120" w:after="120"/>
      </w:pPr>
      <w:r>
        <w:t>However, the transition of OPWDD waiver services to managed care through the SIP-PL model was never implemented. OPWDD received substantial public comment on the draft transition plan from people with disabilities, families, providers, and advocates. Some stakeholders supported the transition “as a mechanism for incentivizing high quality and efficient care,” while others were concerned about the administrative costs and noted the limited success of managed care delivery of developmental disabilities services nationally.</w:t>
      </w:r>
    </w:p>
    <w:p w14:paraId="569E6BCA" w14:textId="77777777" w:rsidR="00402F0A" w:rsidRDefault="00402F0A" w:rsidP="00402F0A">
      <w:pPr>
        <w:spacing w:before="120" w:after="120"/>
      </w:pPr>
      <w:r>
        <w:t xml:space="preserve">As a result of this feedback, OPWDD invested funding from the federal American Rescue Plan Act to study and explore the potential effectiveness of a managed care payment model for developmental disability services statewide. OPWDD contracted with Guidehouse, Inc. to evaluate if managed care or a different payment model can help improve access to and quality of services. In September 2024, OPWDD published Guidehouse’s final report, which said that it </w:t>
      </w:r>
      <w:r w:rsidRPr="00FB464E">
        <w:t>“does not recommend a transition to full managed care for the whole OPWDD service delivery system.” Instead, it recommend</w:t>
      </w:r>
      <w:r>
        <w:t>ed</w:t>
      </w:r>
      <w:r w:rsidRPr="00FB464E">
        <w:t xml:space="preserve"> “first assessing the financial viability and feasibility of implementing a partial managed care model” for certain services or sub-population</w:t>
      </w:r>
      <w:r>
        <w:t>,” and</w:t>
      </w:r>
      <w:r w:rsidRPr="00FB464E">
        <w:t xml:space="preserve"> that “all waiver services should remain in fee-for-service through OPWDD.” </w:t>
      </w:r>
    </w:p>
    <w:p w14:paraId="169A14B4" w14:textId="77777777" w:rsidR="00402F0A" w:rsidRPr="00A51989" w:rsidRDefault="00402F0A" w:rsidP="00402F0A">
      <w:pPr>
        <w:spacing w:before="120" w:after="120"/>
      </w:pPr>
      <w:r w:rsidRPr="00FB464E">
        <w:t>OPWDD accompanied the publication with a note that “no decision on the managed care recommendations of Guidehouse will be released today.”</w:t>
      </w:r>
      <w:r>
        <w:t xml:space="preserve"> OPWDD intends to use the assessments developed by Guidehouse to “inform next steps which will include further opportunities for dialogue and engagement prior to any decisions being made” on the implementation of managed care or other models.</w:t>
      </w:r>
    </w:p>
    <w:p w14:paraId="3018FB95" w14:textId="77777777" w:rsidR="00402F0A" w:rsidRPr="001D4BC7" w:rsidRDefault="00402F0A" w:rsidP="00402F0A">
      <w:pPr>
        <w:pStyle w:val="Heading2"/>
        <w:rPr>
          <w:sz w:val="36"/>
          <w:szCs w:val="36"/>
        </w:rPr>
      </w:pPr>
      <w:bookmarkStart w:id="32" w:name="_Toc207704027"/>
      <w:r>
        <w:lastRenderedPageBreak/>
        <w:t>OPWDD Comprehensive HCBS 1915(c) Waiver</w:t>
      </w:r>
      <w:bookmarkEnd w:id="32"/>
    </w:p>
    <w:p w14:paraId="497853D4" w14:textId="77777777" w:rsidR="00402F0A" w:rsidRPr="00441BA7" w:rsidRDefault="00402F0A" w:rsidP="00402F0A">
      <w:pPr>
        <w:spacing w:after="120"/>
      </w:pPr>
      <w:bookmarkStart w:id="33" w:name="0238"/>
      <w:r w:rsidRPr="002671B7">
        <w:t xml:space="preserve">The </w:t>
      </w:r>
      <w:r>
        <w:t xml:space="preserve">current version of the </w:t>
      </w:r>
      <w:r w:rsidRPr="002671B7">
        <w:t xml:space="preserve">OPWDD Comprehensive 1915(c) Waiver </w:t>
      </w:r>
      <w:r>
        <w:t>was renewed effective October 1, 2024. It maintains funding for all current HCBS waiver services for an additional five years, through September 30, 2029.</w:t>
      </w:r>
      <w:r w:rsidRPr="00646097">
        <w:rPr>
          <w:rFonts w:ascii="Georgia" w:hAnsi="Georgia"/>
          <w:color w:val="202020"/>
          <w:sz w:val="21"/>
          <w:szCs w:val="21"/>
          <w:shd w:val="clear" w:color="auto" w:fill="FFFFFF"/>
        </w:rPr>
        <w:t xml:space="preserve"> </w:t>
      </w:r>
      <w:r>
        <w:t>To be eligible for HCBS waiver services, individuals with I/DD must:</w:t>
      </w:r>
    </w:p>
    <w:p w14:paraId="2834B78C" w14:textId="77777777" w:rsidR="00402F0A" w:rsidRDefault="00402F0A" w:rsidP="005D787B">
      <w:pPr>
        <w:pStyle w:val="ListParagraph"/>
        <w:numPr>
          <w:ilvl w:val="0"/>
          <w:numId w:val="3"/>
        </w:numPr>
        <w:spacing w:before="120" w:after="120" w:line="240" w:lineRule="auto"/>
      </w:pPr>
      <w:r>
        <w:t>Be eligible for Medicaid;</w:t>
      </w:r>
    </w:p>
    <w:p w14:paraId="09722CEF" w14:textId="77777777" w:rsidR="00402F0A" w:rsidRDefault="00402F0A" w:rsidP="005D787B">
      <w:pPr>
        <w:pStyle w:val="ListParagraph"/>
        <w:numPr>
          <w:ilvl w:val="0"/>
          <w:numId w:val="3"/>
        </w:numPr>
        <w:spacing w:before="120" w:after="120" w:line="240" w:lineRule="auto"/>
      </w:pPr>
      <w:r>
        <w:t xml:space="preserve">Meet the standard for an institutional Level of Care (LOC); and </w:t>
      </w:r>
    </w:p>
    <w:p w14:paraId="7C3293B4" w14:textId="77777777" w:rsidR="00402F0A" w:rsidRPr="009D4161" w:rsidRDefault="00402F0A" w:rsidP="005D787B">
      <w:pPr>
        <w:pStyle w:val="ListParagraph"/>
        <w:numPr>
          <w:ilvl w:val="0"/>
          <w:numId w:val="3"/>
        </w:numPr>
        <w:spacing w:before="120" w:after="120" w:line="240" w:lineRule="auto"/>
        <w:rPr>
          <w:i/>
          <w:iCs/>
        </w:rPr>
      </w:pPr>
      <w:r>
        <w:t>Choose to receive HCBS waiver services rather than institutional care.</w:t>
      </w:r>
    </w:p>
    <w:p w14:paraId="3B595A26" w14:textId="77777777" w:rsidR="00402F0A" w:rsidRDefault="00402F0A" w:rsidP="00402F0A">
      <w:pPr>
        <w:spacing w:before="120" w:after="120"/>
      </w:pPr>
      <w:r>
        <w:t xml:space="preserve">People who choose to live in an Intermediate Care Facilities for Individuals with Intellectual and Developmental Disabilities (ICF/IIDs or ICFs) are </w:t>
      </w:r>
      <w:r w:rsidRPr="00410A85">
        <w:rPr>
          <w:u w:val="single"/>
        </w:rPr>
        <w:t>not</w:t>
      </w:r>
      <w:r>
        <w:t xml:space="preserve"> enrolled in the OPWDD Waiver. ICFs are </w:t>
      </w:r>
      <w:r w:rsidRPr="00410A85">
        <w:t>considered</w:t>
      </w:r>
      <w:r>
        <w:t xml:space="preserve"> inpatient institutions and paid an all-inclusive per diem rate. However, individuals enrolled in the OPWDD Waiver must meet the same LOC standards as an ICF. Such individuals may be supported residentially through alternative options, including Individualized Residential Alternatives (IRAs) and Community Residences (CRs), or may live in their own home.</w:t>
      </w:r>
    </w:p>
    <w:p w14:paraId="6DE44416" w14:textId="77777777" w:rsidR="00402F0A" w:rsidRDefault="00402F0A" w:rsidP="00402F0A">
      <w:pPr>
        <w:spacing w:after="120"/>
      </w:pPr>
      <w:r w:rsidRPr="00986660">
        <w:t xml:space="preserve">Services </w:t>
      </w:r>
      <w:r>
        <w:t>that may be available under the OPWDD waiver include:</w:t>
      </w:r>
    </w:p>
    <w:p w14:paraId="6914E97D" w14:textId="77777777" w:rsidR="00402F0A" w:rsidRDefault="00402F0A" w:rsidP="005D787B">
      <w:pPr>
        <w:pStyle w:val="ListParagraph"/>
        <w:numPr>
          <w:ilvl w:val="0"/>
          <w:numId w:val="7"/>
        </w:numPr>
        <w:spacing w:after="120" w:line="240" w:lineRule="auto"/>
      </w:pPr>
      <w:r>
        <w:t>Residential habilitation services to support individuals in an IRA;</w:t>
      </w:r>
    </w:p>
    <w:p w14:paraId="624E5705" w14:textId="77777777" w:rsidR="00402F0A" w:rsidRDefault="00402F0A" w:rsidP="005D787B">
      <w:pPr>
        <w:pStyle w:val="ListParagraph"/>
        <w:numPr>
          <w:ilvl w:val="0"/>
          <w:numId w:val="7"/>
        </w:numPr>
        <w:spacing w:after="120" w:line="240" w:lineRule="auto"/>
      </w:pPr>
      <w:r>
        <w:t>Day services, including Day Habilitation and Community Habilitation;</w:t>
      </w:r>
    </w:p>
    <w:p w14:paraId="726D4942" w14:textId="77777777" w:rsidR="00402F0A" w:rsidRDefault="00402F0A" w:rsidP="005D787B">
      <w:pPr>
        <w:pStyle w:val="ListParagraph"/>
        <w:numPr>
          <w:ilvl w:val="0"/>
          <w:numId w:val="7"/>
        </w:numPr>
        <w:spacing w:after="120" w:line="240" w:lineRule="auto"/>
      </w:pPr>
      <w:r>
        <w:t xml:space="preserve">Vocational services, including Prevocational Services, Supported Employment (SEMP), and Pathway to Employment; and </w:t>
      </w:r>
    </w:p>
    <w:p w14:paraId="65A05F23" w14:textId="77777777" w:rsidR="00402F0A" w:rsidRDefault="00402F0A" w:rsidP="005D787B">
      <w:pPr>
        <w:pStyle w:val="ListParagraph"/>
        <w:numPr>
          <w:ilvl w:val="0"/>
          <w:numId w:val="7"/>
        </w:numPr>
        <w:spacing w:after="120" w:line="240" w:lineRule="auto"/>
      </w:pPr>
      <w:r>
        <w:t>Durable goods and modifications, such as Assistive Technology – Adaptive Devices, Environmental Modifications, and Vehicle Modifications.</w:t>
      </w:r>
    </w:p>
    <w:p w14:paraId="546EACC9" w14:textId="77777777" w:rsidR="00402F0A" w:rsidRPr="0027548F" w:rsidRDefault="00402F0A" w:rsidP="00402F0A">
      <w:pPr>
        <w:spacing w:after="120"/>
      </w:pPr>
      <w:r>
        <w:t xml:space="preserve">Services may also be delivered through self-direction. Under this option, the waiver participant may work with a Fiscal Intermediary to pay staff that they hire, including live-in caregivers and individual-directed goods and services. </w:t>
      </w:r>
    </w:p>
    <w:bookmarkEnd w:id="33"/>
    <w:p w14:paraId="34E78A84" w14:textId="77777777" w:rsidR="00402F0A" w:rsidRDefault="00402F0A" w:rsidP="00402F0A">
      <w:pPr>
        <w:spacing w:before="120" w:after="120"/>
      </w:pPr>
      <w:r>
        <w:t xml:space="preserve">As of 2023, 92,342 individuals received some services through the OPWDD Waiver, with total expenses of roughly $7.4 billion. An additional 36,000 individuals received services licensed by OPWDD that are not part of the waiver (such as Intermediate Care Facility residence). </w:t>
      </w:r>
    </w:p>
    <w:p w14:paraId="31B9A838" w14:textId="77777777" w:rsidR="00402F0A" w:rsidRPr="00D76056" w:rsidRDefault="00402F0A" w:rsidP="00402F0A">
      <w:pPr>
        <w:pStyle w:val="Heading2"/>
      </w:pPr>
      <w:bookmarkStart w:id="34" w:name="_Toc207704028"/>
      <w:r w:rsidRPr="00B333A4">
        <w:t>Health Homes/Care Coordination Organizations</w:t>
      </w:r>
      <w:r>
        <w:t xml:space="preserve"> (HH/CCOs)</w:t>
      </w:r>
      <w:bookmarkEnd w:id="34"/>
    </w:p>
    <w:p w14:paraId="3A774403" w14:textId="77777777" w:rsidR="00402F0A" w:rsidRDefault="00402F0A" w:rsidP="00402F0A">
      <w:pPr>
        <w:spacing w:before="120" w:after="120"/>
      </w:pPr>
      <w:r>
        <w:t xml:space="preserve">In July 2018, NYS established a new model of Health Homes specifically for people with I/DD, also known as </w:t>
      </w:r>
      <w:hyperlink r:id="rId21" w:history="1">
        <w:r w:rsidRPr="002168B5">
          <w:rPr>
            <w:rStyle w:val="Hyperlink"/>
          </w:rPr>
          <w:t>Care Coordination Organizations</w:t>
        </w:r>
      </w:hyperlink>
      <w:r>
        <w:t xml:space="preserve"> (HH/CCOs or CCOs) to replace and expand the function of Medicaid Service Coordination (MSC) previously available under the OPWDD Waiver. Over 350 agencies providing MSC were consolidated into seven regional CCOs (which remain controlled by providers with experience serving the I/DD population) that provide Health Home Care Management. CCOs are not themselves a component of the OPWDD Waiver, but any individual seeking OPWDD Waiver services must enroll in a CCO. </w:t>
      </w:r>
    </w:p>
    <w:p w14:paraId="0C78EE80" w14:textId="77777777" w:rsidR="00402F0A" w:rsidRDefault="00402F0A" w:rsidP="00402F0A">
      <w:pPr>
        <w:spacing w:before="120" w:after="120"/>
      </w:pPr>
      <w:r>
        <w:t>To be eligible for enrollment in a CCO, a Medicaid-enrolled individual must:</w:t>
      </w:r>
    </w:p>
    <w:p w14:paraId="16625BF3" w14:textId="77777777" w:rsidR="00402F0A" w:rsidRDefault="00402F0A" w:rsidP="005D787B">
      <w:pPr>
        <w:pStyle w:val="ListParagraph"/>
        <w:numPr>
          <w:ilvl w:val="0"/>
          <w:numId w:val="7"/>
        </w:numPr>
        <w:spacing w:before="120" w:after="120" w:line="240" w:lineRule="auto"/>
      </w:pPr>
      <w:r>
        <w:lastRenderedPageBreak/>
        <w:t>Present with a diagnosis of a condition in the Major Category of Developmental Disabilities;</w:t>
      </w:r>
    </w:p>
    <w:p w14:paraId="566E3CA3" w14:textId="77777777" w:rsidR="00402F0A" w:rsidRDefault="00402F0A" w:rsidP="005D787B">
      <w:pPr>
        <w:pStyle w:val="ListParagraph"/>
        <w:numPr>
          <w:ilvl w:val="0"/>
          <w:numId w:val="7"/>
        </w:numPr>
        <w:spacing w:before="120" w:after="120" w:line="240" w:lineRule="auto"/>
      </w:pPr>
      <w:r>
        <w:t>Meet the institutional ICF LOC methodology; and</w:t>
      </w:r>
    </w:p>
    <w:p w14:paraId="5E191E5E" w14:textId="77777777" w:rsidR="00402F0A" w:rsidRDefault="00402F0A" w:rsidP="005D787B">
      <w:pPr>
        <w:pStyle w:val="ListParagraph"/>
        <w:numPr>
          <w:ilvl w:val="0"/>
          <w:numId w:val="7"/>
        </w:numPr>
        <w:spacing w:before="120" w:after="120" w:line="240" w:lineRule="auto"/>
      </w:pPr>
      <w:r>
        <w:t>Be determined by OPWDD or its designee to meet the definition of “developmental disability” in the Mental Hygiene Law.</w:t>
      </w:r>
    </w:p>
    <w:p w14:paraId="04AEDE3C" w14:textId="77777777" w:rsidR="00402F0A" w:rsidRDefault="00402F0A" w:rsidP="00402F0A">
      <w:pPr>
        <w:spacing w:before="120" w:after="120"/>
      </w:pPr>
      <w:r>
        <w:t xml:space="preserve">CCOs, like other Health Homes, are required to provide the six core Health Home services, including Comprehensive Care Management. In a CCO, this is provided by a care manager who works with individuals with I/DD and their families to bring together health care and developmental disability service providers to develop an integrated Life Plan that includes OPWDD, medical, behavioral health, community and social supports, and other services. </w:t>
      </w:r>
    </w:p>
    <w:p w14:paraId="43904E5B" w14:textId="77777777" w:rsidR="00402F0A" w:rsidRDefault="00402F0A" w:rsidP="00402F0A">
      <w:r>
        <w:t>I</w:t>
      </w:r>
      <w:r w:rsidRPr="00E016DC">
        <w:t xml:space="preserve">ndividuals </w:t>
      </w:r>
      <w:r>
        <w:t xml:space="preserve">in the OPWDD Waiver may opt out of receiving full Health Home services. In that case, they will still need to enroll with a CCO to receive Basic HCBS Plan Support. This service provides the necessary assistance to conduct timely reviews of and updates to the individual’s Life Plan. However, it does not include care management and coordination of medical, behavioral health, dental, and other services. </w:t>
      </w:r>
    </w:p>
    <w:p w14:paraId="121AD97F" w14:textId="77777777" w:rsidR="00402F0A" w:rsidRDefault="00402F0A" w:rsidP="00402F0A">
      <w:r>
        <w:t>The number of individuals receiving either Health Home or HCBS Basic Plan Support has remained constant at 97% and 3%, respectively, since the implementation of CCOs.</w:t>
      </w:r>
    </w:p>
    <w:p w14:paraId="2B1687D9" w14:textId="77777777" w:rsidR="00402F0A" w:rsidRDefault="00402F0A" w:rsidP="00402F0A">
      <w:pPr>
        <w:pStyle w:val="Heading2"/>
      </w:pPr>
      <w:bookmarkStart w:id="35" w:name="_Toc207704029"/>
      <w:r w:rsidRPr="00D76056">
        <w:t>FIDA for Intellectual and Developmental Disabilities (FIDA-IDD)</w:t>
      </w:r>
      <w:bookmarkEnd w:id="35"/>
    </w:p>
    <w:p w14:paraId="1A6657D7" w14:textId="77777777" w:rsidR="00402F0A" w:rsidRDefault="00402F0A" w:rsidP="00402F0A">
      <w:pPr>
        <w:spacing w:before="120" w:after="120"/>
      </w:pPr>
      <w:r>
        <w:t>In November 2015, CMS and NYS announced the Fully Integrated Duals Advantage for Individuals with Intellectual and Developmental Disabilities (FIDA-IDD) program, which established a specialized integrated Medicare-Medicaid plan (MMP) demonstration for dually-eligible adult individuals with I/DD. An integrated MMP consists of a single plan product that integrates both the Medicare and Medicaid benefit, unlike a D-SNP model, which retains the structure of two products. NYS and CMS contracted with one organization, Partners Health Plan (PHP), to operate a FIDA-IDD plan. The plan serves individuals in New York City, Long Island, Rockland County, and Westchester.</w:t>
      </w:r>
    </w:p>
    <w:p w14:paraId="63449BEF" w14:textId="77777777" w:rsidR="00402F0A" w:rsidRDefault="00402F0A" w:rsidP="00402F0A">
      <w:pPr>
        <w:spacing w:before="120" w:after="120"/>
      </w:pPr>
      <w:r w:rsidRPr="008A612B">
        <w:t>The contract between CMS, DOH, and PHP has been extended multiple times and is currently set to end on December 31, 202</w:t>
      </w:r>
      <w:r>
        <w:t>5</w:t>
      </w:r>
      <w:r w:rsidRPr="008A612B">
        <w:t xml:space="preserve">. </w:t>
      </w:r>
    </w:p>
    <w:p w14:paraId="5A1F0EF1" w14:textId="77777777" w:rsidR="00402F0A" w:rsidRDefault="00402F0A" w:rsidP="00402F0A">
      <w:pPr>
        <w:spacing w:before="120" w:after="120"/>
      </w:pPr>
      <w:r>
        <w:t>As of May 2025, there were 1,714 individuals enrolled in PHP’s FIDA-IDD plan.</w:t>
      </w:r>
    </w:p>
    <w:p w14:paraId="748D1BB3" w14:textId="77777777" w:rsidR="00402F0A" w:rsidRDefault="00402F0A" w:rsidP="00402F0A">
      <w:pPr>
        <w:pStyle w:val="Heading1"/>
      </w:pPr>
      <w:bookmarkStart w:id="36" w:name="_Toc207704030"/>
      <w:r>
        <w:t>Section 1115 Medicaid Demonstration Waivers</w:t>
      </w:r>
      <w:bookmarkEnd w:id="36"/>
    </w:p>
    <w:p w14:paraId="646C8E4C" w14:textId="77777777" w:rsidR="00402F0A" w:rsidRPr="00780BDC" w:rsidRDefault="00402F0A" w:rsidP="00402F0A">
      <w:pPr>
        <w:spacing w:before="120" w:after="120"/>
      </w:pPr>
      <w:r w:rsidRPr="00780BDC">
        <w:t xml:space="preserve">Every state’s Medicaid program operates under a comprehensive Medicaid State Plan, which describes the Medicaid program’s eligibility standards, covered benefits, and reimbursement standards. Various operating requirements apply under a standard State Plan. For example, Medicaid services must be available on a comparable basis to all enrollees, and enrollees must have the freedom to choose among all Medicaid-participating providers. States wishing to </w:t>
      </w:r>
      <w:r w:rsidRPr="00780BDC">
        <w:lastRenderedPageBreak/>
        <w:t xml:space="preserve">implement more flexible policies for a given Medicaid population must seek approval of a waiver from CMS. </w:t>
      </w:r>
    </w:p>
    <w:p w14:paraId="339BE595" w14:textId="508D45C5" w:rsidR="00402F0A" w:rsidRPr="00780BDC" w:rsidRDefault="00402F0A" w:rsidP="00402F0A">
      <w:pPr>
        <w:spacing w:before="120" w:after="120"/>
        <w:rPr>
          <w:shd w:val="clear" w:color="auto" w:fill="FFFFFF"/>
        </w:rPr>
      </w:pPr>
      <w:r w:rsidRPr="00780BDC">
        <w:t xml:space="preserve">Most of New York’s Medicaid program operates under a Section 1115 demonstration waiver, currently known as the </w:t>
      </w:r>
      <w:hyperlink r:id="rId22" w:history="1">
        <w:r w:rsidRPr="000B6CAC">
          <w:rPr>
            <w:rStyle w:val="Hyperlink"/>
          </w:rPr>
          <w:t>Medicaid Redesign Team (MRT) Waiver</w:t>
        </w:r>
      </w:hyperlink>
      <w:r w:rsidRPr="00780BDC">
        <w:t xml:space="preserve">, which provides the authority for NYS to operate the mandatory statewide managed care programs described elsewhere in this </w:t>
      </w:r>
      <w:r w:rsidR="001E55CF">
        <w:t>document</w:t>
      </w:r>
      <w:r w:rsidRPr="00780BDC">
        <w:t xml:space="preserve">, including MMC plans, HARPs, and partially-capitated MLTC plans. </w:t>
      </w:r>
      <w:r w:rsidRPr="00780BDC">
        <w:rPr>
          <w:shd w:val="clear" w:color="auto" w:fill="FFFFFF"/>
        </w:rPr>
        <w:t xml:space="preserve">The waiver is periodically submitted to CMS for renewal, and is currently approved through March 31, 2027. </w:t>
      </w:r>
    </w:p>
    <w:p w14:paraId="7EC35526" w14:textId="77777777" w:rsidR="00402F0A" w:rsidRPr="00780BDC" w:rsidRDefault="00402F0A" w:rsidP="00402F0A">
      <w:pPr>
        <w:spacing w:before="120" w:after="120"/>
        <w:rPr>
          <w:shd w:val="clear" w:color="auto" w:fill="FFFFFF"/>
        </w:rPr>
      </w:pPr>
      <w:r w:rsidRPr="00780BDC">
        <w:t xml:space="preserve">Section 1115 waivers must demonstrate “budget neutrality,” meaning that they create federal savings compared to a scenario without enactment of the waiver. Under this constraint, CMS may agree to reinvest a portion of federal savings into the Medicaid system. </w:t>
      </w:r>
      <w:r w:rsidRPr="00780BDC">
        <w:rPr>
          <w:shd w:val="clear" w:color="auto" w:fill="FFFFFF"/>
        </w:rPr>
        <w:t xml:space="preserve">In 2014, pursuant to this process, CMS approved an amendment to NYS’s waiver that reinvested $8 billion into various Medicaid reform initiatives, including the DSRIP program, Health Homes, implementation of BH HCBS, and MLTC workforce programs. </w:t>
      </w:r>
    </w:p>
    <w:p w14:paraId="26A692B6" w14:textId="21745C41" w:rsidR="00402F0A" w:rsidRPr="00780BDC" w:rsidRDefault="00402F0A" w:rsidP="00402F0A">
      <w:pPr>
        <w:spacing w:before="120" w:after="120"/>
      </w:pPr>
      <w:r w:rsidRPr="00780BDC">
        <w:t xml:space="preserve">In January 2024, CMS approved a new amendment to New York’s MRT 1115 </w:t>
      </w:r>
      <w:r w:rsidR="00790C8B" w:rsidRPr="00780BDC">
        <w:t>Demonstration Waiver</w:t>
      </w:r>
      <w:r w:rsidRPr="00780BDC">
        <w:t xml:space="preserve"> (see “New York Health Equity Reform Waiver Amendment”) that includes almost $7 billion in new federal funding for four initiatives related to social care services, global budgets, and workforce.</w:t>
      </w:r>
    </w:p>
    <w:p w14:paraId="5F5705FD" w14:textId="77777777" w:rsidR="00402F0A" w:rsidRPr="009B3689" w:rsidRDefault="00402F0A" w:rsidP="00402F0A">
      <w:pPr>
        <w:pStyle w:val="Heading2"/>
      </w:pPr>
      <w:bookmarkStart w:id="37" w:name="_Toc207704031"/>
      <w:r>
        <w:t>DSRIP</w:t>
      </w:r>
      <w:bookmarkEnd w:id="37"/>
    </w:p>
    <w:p w14:paraId="288DABC1" w14:textId="77777777" w:rsidR="00402F0A" w:rsidRPr="00780BDC" w:rsidRDefault="00402F0A" w:rsidP="00402F0A">
      <w:pPr>
        <w:spacing w:before="120" w:after="120"/>
        <w:rPr>
          <w:shd w:val="clear" w:color="auto" w:fill="FFFFFF"/>
        </w:rPr>
      </w:pPr>
      <w:r w:rsidRPr="00780BDC">
        <w:rPr>
          <w:shd w:val="clear" w:color="auto" w:fill="FFFFFF"/>
        </w:rPr>
        <w:t>The DSRIP program, which ran through March 2020, made $6.4 billion of federal funds available to redesign the State’s Medicaid program to help achieve the Triple Aim of improved care, enhanced quality, and reduced costs. DSRIP’s overall goal was to reduce avoidable hospitalizations statewide by 25 percent over five years, with several other subsidiary goals. DSRIP also established the Value-Based Payment (VBP) Roadmap, which set a goal of transitioning at least 80% of Medicaid managed care payments into VBP arrangements by the end of the waiver period.</w:t>
      </w:r>
    </w:p>
    <w:p w14:paraId="5E02D3B8" w14:textId="77777777" w:rsidR="00402F0A" w:rsidRPr="00780BDC" w:rsidRDefault="00402F0A" w:rsidP="00402F0A">
      <w:pPr>
        <w:spacing w:before="120" w:after="120"/>
        <w:rPr>
          <w:shd w:val="clear" w:color="auto" w:fill="FFFFFF"/>
        </w:rPr>
      </w:pPr>
      <w:r w:rsidRPr="00780BDC">
        <w:rPr>
          <w:shd w:val="clear" w:color="auto" w:fill="FFFFFF"/>
        </w:rPr>
        <w:t xml:space="preserve">DSRIP funding was made available to Performing Provider Systems (PPSs), which were regional networks of providers, typically led by a major hospital or health system, that were responsible for enacting a set of delivery system redesign projects from a pre-approved menu. Commonly implemented projects included primary care practice transformation and PCMH certification and the integration of behavioral health services. PPSs earned incentive payments based on achieving process and outcome metrics related to their projects. Once earned, incentive payments could be used for further investment in projects and other purposes, such as covering revenue losses due to lower hospitalizations.  </w:t>
      </w:r>
    </w:p>
    <w:p w14:paraId="2D81140F" w14:textId="77777777" w:rsidR="00402F0A" w:rsidRPr="00780BDC" w:rsidRDefault="00402F0A" w:rsidP="00402F0A">
      <w:pPr>
        <w:spacing w:before="120" w:after="120"/>
        <w:rPr>
          <w:shd w:val="clear" w:color="auto" w:fill="FFFFFF"/>
        </w:rPr>
      </w:pPr>
      <w:r w:rsidRPr="00780BDC">
        <w:rPr>
          <w:shd w:val="clear" w:color="auto" w:fill="FFFFFF"/>
        </w:rPr>
        <w:t xml:space="preserve">The DSRIP Independent Assessor’s Final Summative Evaluation was approved in December 2021. CMS noted that it found a “significant reduction in potentially preventable readmissions,” and that “[a] majority of the behavioral health and population health measures evaluated demonstrated statistically significant improvements […] including key primary care indicators.” </w:t>
      </w:r>
    </w:p>
    <w:p w14:paraId="4BEB5199" w14:textId="77777777" w:rsidR="00402F0A" w:rsidRDefault="00402F0A" w:rsidP="00402F0A">
      <w:pPr>
        <w:pStyle w:val="Heading2"/>
      </w:pPr>
      <w:bookmarkStart w:id="38" w:name="_Toc207704032"/>
      <w:r>
        <w:lastRenderedPageBreak/>
        <w:t>New York Health Equity Reform Waiver Amendment</w:t>
      </w:r>
      <w:bookmarkEnd w:id="38"/>
    </w:p>
    <w:p w14:paraId="1DA645BB" w14:textId="77777777" w:rsidR="00402F0A" w:rsidRPr="00780BDC" w:rsidRDefault="00402F0A" w:rsidP="00402F0A">
      <w:pPr>
        <w:spacing w:before="120" w:after="120"/>
        <w:rPr>
          <w:shd w:val="clear" w:color="auto" w:fill="FFFFFF"/>
        </w:rPr>
      </w:pPr>
      <w:r w:rsidRPr="00780BDC">
        <w:rPr>
          <w:shd w:val="clear" w:color="auto" w:fill="FFFFFF"/>
        </w:rPr>
        <w:t xml:space="preserve">On January 9, 2024, CMS approved a </w:t>
      </w:r>
      <w:hyperlink r:id="rId23" w:history="1">
        <w:r w:rsidRPr="000B6CAC">
          <w:rPr>
            <w:rStyle w:val="Hyperlink"/>
          </w:rPr>
          <w:t>new amendment</w:t>
        </w:r>
      </w:hyperlink>
      <w:r w:rsidRPr="00780BDC">
        <w:rPr>
          <w:shd w:val="clear" w:color="auto" w:fill="FFFFFF"/>
        </w:rPr>
        <w:t xml:space="preserve"> to New York’s MRT 1115 Demonstration Waiver. The new amendment will run during the 3.25-year period from January 2024 through March 2027. </w:t>
      </w:r>
    </w:p>
    <w:p w14:paraId="0ECDE709" w14:textId="77777777" w:rsidR="00402F0A" w:rsidRPr="00780BDC" w:rsidRDefault="00402F0A" w:rsidP="00402F0A">
      <w:pPr>
        <w:spacing w:before="120" w:after="120"/>
        <w:rPr>
          <w:shd w:val="clear" w:color="auto" w:fill="FFFFFF"/>
        </w:rPr>
      </w:pPr>
      <w:r w:rsidRPr="00780BDC">
        <w:rPr>
          <w:shd w:val="clear" w:color="auto" w:fill="FFFFFF"/>
        </w:rPr>
        <w:t>The amendment includes four initiatives with a total of up to $6.69 billion in federal funding:</w:t>
      </w:r>
    </w:p>
    <w:p w14:paraId="0C24FE6B" w14:textId="77777777" w:rsidR="00402F0A" w:rsidRPr="00780BDC" w:rsidRDefault="00402F0A" w:rsidP="005D787B">
      <w:pPr>
        <w:pStyle w:val="ListParagraph"/>
        <w:numPr>
          <w:ilvl w:val="0"/>
          <w:numId w:val="4"/>
        </w:numPr>
        <w:spacing w:before="120" w:after="120" w:line="240" w:lineRule="auto"/>
        <w:rPr>
          <w:shd w:val="clear" w:color="auto" w:fill="FFFFFF"/>
        </w:rPr>
      </w:pPr>
      <w:r w:rsidRPr="00780BDC">
        <w:rPr>
          <w:shd w:val="clear" w:color="auto" w:fill="FFFFFF"/>
        </w:rPr>
        <w:t>Health-Related Social Needs (HRSN): Up to $3.673 billion for building HRSN infrastructure, including the creation of new Social Care Networks (SCNs), and reimbursing for an array of HRSN services through the Medicaid program.</w:t>
      </w:r>
    </w:p>
    <w:p w14:paraId="0241008D" w14:textId="77777777" w:rsidR="00402F0A" w:rsidRPr="00780BDC" w:rsidRDefault="00402F0A" w:rsidP="005D787B">
      <w:pPr>
        <w:pStyle w:val="ListParagraph"/>
        <w:numPr>
          <w:ilvl w:val="0"/>
          <w:numId w:val="4"/>
        </w:numPr>
        <w:spacing w:before="120" w:after="120" w:line="240" w:lineRule="auto"/>
        <w:rPr>
          <w:shd w:val="clear" w:color="auto" w:fill="FFFFFF"/>
        </w:rPr>
      </w:pPr>
      <w:r w:rsidRPr="00780BDC">
        <w:rPr>
          <w:shd w:val="clear" w:color="auto" w:fill="FFFFFF"/>
        </w:rPr>
        <w:t>Health Equity Regional Organization (HERO): Up to $125 million for the creation of a statewide HERO to conduct regional health and HRSN data collection and analysis and, based on this, make recommendations on incorporating HRSN into value-based payment (VBP) arrangements in the future.</w:t>
      </w:r>
    </w:p>
    <w:p w14:paraId="12BEE51C" w14:textId="77777777" w:rsidR="00402F0A" w:rsidRPr="00780BDC" w:rsidRDefault="00402F0A" w:rsidP="005D787B">
      <w:pPr>
        <w:pStyle w:val="ListParagraph"/>
        <w:numPr>
          <w:ilvl w:val="0"/>
          <w:numId w:val="4"/>
        </w:numPr>
        <w:spacing w:before="120" w:after="120" w:line="240" w:lineRule="auto"/>
        <w:rPr>
          <w:shd w:val="clear" w:color="auto" w:fill="FFFFFF"/>
        </w:rPr>
      </w:pPr>
      <w:r w:rsidRPr="00780BDC">
        <w:rPr>
          <w:shd w:val="clear" w:color="auto" w:fill="FFFFFF"/>
        </w:rPr>
        <w:t>Medicaid Hospital Global Budgets: Up to $2.2 billion to support certain safety net hospitals in Brooklyn, the Bronx, Queens, and Westchester County to transition their Medicaid reimbursement to hospital global budget models, in line with CMS’s new AHEAD model.</w:t>
      </w:r>
    </w:p>
    <w:p w14:paraId="40682C61" w14:textId="77777777" w:rsidR="00402F0A" w:rsidRPr="00780BDC" w:rsidRDefault="00402F0A" w:rsidP="005D787B">
      <w:pPr>
        <w:pStyle w:val="ListParagraph"/>
        <w:numPr>
          <w:ilvl w:val="0"/>
          <w:numId w:val="4"/>
        </w:numPr>
        <w:spacing w:before="120" w:after="120" w:line="240" w:lineRule="auto"/>
        <w:rPr>
          <w:shd w:val="clear" w:color="auto" w:fill="FFFFFF"/>
        </w:rPr>
      </w:pPr>
      <w:r w:rsidRPr="00780BDC">
        <w:rPr>
          <w:shd w:val="clear" w:color="auto" w:fill="FFFFFF"/>
        </w:rPr>
        <w:t xml:space="preserve">Strengthen the Workforce: Up to $694 million for workforce recruitment and retention efforts, including student loan repayment and training and education programs for individuals who make commitments to serve high-needs populations. Training and education will be funded through Workforce Investment Organizations (WIOs), which will recruit participants and provide ongoing support. </w:t>
      </w:r>
    </w:p>
    <w:p w14:paraId="777B6179" w14:textId="77777777" w:rsidR="00402F0A" w:rsidRPr="00312D05" w:rsidRDefault="00402F0A" w:rsidP="00402F0A">
      <w:pPr>
        <w:pStyle w:val="Heading3"/>
      </w:pPr>
      <w:bookmarkStart w:id="39" w:name="_Toc207704033"/>
      <w:r>
        <w:rPr>
          <w:shd w:val="clear" w:color="auto" w:fill="FFFFFF"/>
        </w:rPr>
        <w:t>Social Care Networks</w:t>
      </w:r>
      <w:bookmarkEnd w:id="39"/>
    </w:p>
    <w:p w14:paraId="53574FCC" w14:textId="77777777" w:rsidR="00402F0A" w:rsidRPr="00780BDC" w:rsidRDefault="00402F0A" w:rsidP="00402F0A">
      <w:pPr>
        <w:spacing w:after="120"/>
      </w:pPr>
      <w:r w:rsidRPr="00780BDC">
        <w:t xml:space="preserve">In August 2023, the State selected nine organizations to serve this function in their respective regions (see details </w:t>
      </w:r>
      <w:hyperlink r:id="rId24" w:history="1">
        <w:r w:rsidRPr="00A81FFE">
          <w:rPr>
            <w:rStyle w:val="Hyperlink"/>
          </w:rPr>
          <w:t>here</w:t>
        </w:r>
      </w:hyperlink>
      <w:r>
        <w:t xml:space="preserve">). </w:t>
      </w:r>
      <w:r w:rsidRPr="00780BDC">
        <w:rPr>
          <w:rStyle w:val="apple-converted-space"/>
        </w:rPr>
        <w:t xml:space="preserve">SCNs will be responsible for coordinating the delivery of social care services to Medicaid members, including by providing HRSN screening and maintaining a comprehensive network of community-based organizations (CBOs) to support the delivery of “Enhanced” HRSN services to eligible members. Such services may include housing, transportation, nutrition, and care management. SCNs will also be responsible for establishing regional connectivity with the State and other stakeholders, including through integration with the Statewide Health Information Network for New York (SHIN-NY). </w:t>
      </w:r>
    </w:p>
    <w:p w14:paraId="579D3414" w14:textId="77777777" w:rsidR="00402F0A" w:rsidRPr="00780BDC" w:rsidRDefault="00402F0A" w:rsidP="00402F0A">
      <w:pPr>
        <w:spacing w:after="120"/>
      </w:pPr>
      <w:r w:rsidRPr="00780BDC">
        <w:t>MCOs will pass through funding to SCN lead entities to cover HRSN screening for all Medicaid members and Enhanced HRSN services for eligible members. Funding will be provided as a per member per month (PMPM) payment for each Medicaid managed care member in the region. For Medicaid members who are not in managed care, the SCN will submit claims and be reimbursed for screening and navigation on a FFS basis.</w:t>
      </w:r>
    </w:p>
    <w:p w14:paraId="44E3BD7B" w14:textId="77777777" w:rsidR="00402F0A" w:rsidRDefault="00402F0A" w:rsidP="00402F0A">
      <w:pPr>
        <w:pStyle w:val="Heading3"/>
      </w:pPr>
      <w:bookmarkStart w:id="40" w:name="_Toc207704034"/>
      <w:r>
        <w:lastRenderedPageBreak/>
        <w:t>Medicaid Hospital Global Budget Initiative</w:t>
      </w:r>
      <w:bookmarkEnd w:id="40"/>
      <w:r>
        <w:t xml:space="preserve"> </w:t>
      </w:r>
    </w:p>
    <w:p w14:paraId="6FE8E5D5" w14:textId="77777777" w:rsidR="00402F0A" w:rsidRDefault="00402F0A" w:rsidP="00402F0A">
      <w:pPr>
        <w:spacing w:after="120"/>
      </w:pPr>
      <w:r>
        <w:t xml:space="preserve">Under the waiver amendment, $2.2 billion will be available to provide financial support to safety net hospitals located in Brooklyn, the Bronx, Queens, and Westchester County as they transition to a hospital global budget payment methodology for Medicaid. </w:t>
      </w:r>
    </w:p>
    <w:p w14:paraId="54C60787" w14:textId="77777777" w:rsidR="00402F0A" w:rsidRDefault="00402F0A" w:rsidP="00402F0A">
      <w:pPr>
        <w:spacing w:after="120"/>
      </w:pPr>
      <w:r w:rsidRPr="00F2691E">
        <w:t xml:space="preserve">NYS will submit a Medicaid Hospital Global Budget Implementation Protocol to CMS outlining a plan and timeline for implementing these budget, which must include planned hospital quality and equity metrics. Although the State intends to align these Medicaid Global Budgets with AHEAD’s corresponding Medicare budgets, the two programs are not contingent on each other. In particular, if New York is not selected to participate in AHEAD, NYS will still be required to create Medicaid hospital global budget plans under this waiver. </w:t>
      </w:r>
    </w:p>
    <w:p w14:paraId="4C1B9624" w14:textId="77777777" w:rsidR="00402F0A" w:rsidRDefault="00402F0A" w:rsidP="00402F0A">
      <w:pPr>
        <w:spacing w:after="120"/>
      </w:pPr>
      <w:r w:rsidRPr="00F2691E">
        <w:t>Waiver funds under this initiative must be claimed as administrative and will not be factored into managed care expenditures or represent payment for services.</w:t>
      </w:r>
    </w:p>
    <w:p w14:paraId="595BC396" w14:textId="77777777" w:rsidR="00402F0A" w:rsidRDefault="00402F0A" w:rsidP="00402F0A">
      <w:pPr>
        <w:pStyle w:val="Heading3"/>
      </w:pPr>
      <w:bookmarkStart w:id="41" w:name="_Toc207704035"/>
      <w:r>
        <w:t>Workforce Investment Organizations</w:t>
      </w:r>
      <w:bookmarkEnd w:id="41"/>
    </w:p>
    <w:p w14:paraId="306B2989" w14:textId="77777777" w:rsidR="00402F0A" w:rsidRPr="006F7F4C" w:rsidRDefault="00402F0A" w:rsidP="00402F0A">
      <w:r>
        <w:t>In August 2024, the State selected three Workforce Investment Organizations (WIOs) to administer a total of $646 million in funding for the workforce training components of the waiver amendment.</w:t>
      </w:r>
      <w:r w:rsidRPr="006F7F4C">
        <w:rPr>
          <w:rFonts w:ascii="Georgia" w:hAnsi="Georgia"/>
          <w:color w:val="202020"/>
          <w:sz w:val="21"/>
          <w:szCs w:val="21"/>
          <w:shd w:val="clear" w:color="auto" w:fill="FFFFFF"/>
        </w:rPr>
        <w:t xml:space="preserve"> </w:t>
      </w:r>
      <w:r w:rsidRPr="006F7F4C">
        <w:t>The three WIOs will operate in the following regions (counties in each region are shown on a map </w:t>
      </w:r>
      <w:hyperlink r:id="rId25" w:tgtFrame="_blank" w:tooltip="https://nam12.safelinks.protection.outlook.com/?url=https%3A%2F%2Fsachspolicy.us7.list-manage.com%2Ftrack%2Fclick%3Fu%3D506b89891b53886a264851c97%26id%3De519d3b3a3%26e%3De3cd813f9e&amp;data=05%7C02%7CJPierce%40sachspolicy.com%7Ca10cb9fae3da4e457eb208dcbd637ec4%7Cf" w:history="1">
        <w:r w:rsidRPr="006F7F4C">
          <w:rPr>
            <w:rStyle w:val="Hyperlink"/>
          </w:rPr>
          <w:t>here</w:t>
        </w:r>
      </w:hyperlink>
      <w:r w:rsidRPr="006F7F4C">
        <w:t>): </w:t>
      </w:r>
    </w:p>
    <w:p w14:paraId="1A2530A8" w14:textId="77777777" w:rsidR="00402F0A" w:rsidRPr="006F7F4C" w:rsidRDefault="00402F0A" w:rsidP="005D787B">
      <w:pPr>
        <w:numPr>
          <w:ilvl w:val="0"/>
          <w:numId w:val="18"/>
        </w:numPr>
        <w:spacing w:after="0" w:line="240" w:lineRule="auto"/>
      </w:pPr>
      <w:r w:rsidRPr="006F7F4C">
        <w:rPr>
          <w:b/>
          <w:bCs/>
        </w:rPr>
        <w:t>Region 1</w:t>
      </w:r>
      <w:r w:rsidRPr="006F7F4C">
        <w:t> (New York City, Hudson Valley, and Long Island): 1199SEIU Training and Employment Funds</w:t>
      </w:r>
    </w:p>
    <w:p w14:paraId="1FC8663D" w14:textId="77777777" w:rsidR="00402F0A" w:rsidRPr="006F7F4C" w:rsidRDefault="00402F0A" w:rsidP="005D787B">
      <w:pPr>
        <w:numPr>
          <w:ilvl w:val="0"/>
          <w:numId w:val="18"/>
        </w:numPr>
        <w:spacing w:after="0" w:line="240" w:lineRule="auto"/>
      </w:pPr>
      <w:r w:rsidRPr="006F7F4C">
        <w:rPr>
          <w:b/>
          <w:bCs/>
        </w:rPr>
        <w:t>Region 2 </w:t>
      </w:r>
      <w:r w:rsidRPr="006F7F4C">
        <w:t>(Capital Region, Central New York, North Country, and Southern Tier): Iroquois Healthcare Association</w:t>
      </w:r>
    </w:p>
    <w:p w14:paraId="6606F764" w14:textId="77777777" w:rsidR="00402F0A" w:rsidRPr="006F7F4C" w:rsidRDefault="00402F0A" w:rsidP="005D787B">
      <w:pPr>
        <w:numPr>
          <w:ilvl w:val="0"/>
          <w:numId w:val="18"/>
        </w:numPr>
        <w:spacing w:after="120" w:line="240" w:lineRule="auto"/>
      </w:pPr>
      <w:r w:rsidRPr="006F7F4C">
        <w:rPr>
          <w:b/>
          <w:bCs/>
        </w:rPr>
        <w:t>Region 3</w:t>
      </w:r>
      <w:r w:rsidRPr="006F7F4C">
        <w:t> (Finger Lakes and Western New York): The Finger Lakes Performing Provider System</w:t>
      </w:r>
    </w:p>
    <w:p w14:paraId="344DB13D" w14:textId="77777777" w:rsidR="00402F0A" w:rsidRDefault="00402F0A" w:rsidP="00402F0A">
      <w:pPr>
        <w:spacing w:after="120"/>
      </w:pPr>
      <w:r>
        <w:t>The WIOs will be responsible for linking people seeking to join or advance in a health care career with educational institutions, employers, and others. This will include recruiting eligible participants, establishing partnerships with employers, and using waiver funding to pay for participants’ educational costs and to reimburse employers for backfill staffing costs incurred when employees are away for training.</w:t>
      </w:r>
    </w:p>
    <w:p w14:paraId="239538F2" w14:textId="77777777" w:rsidR="00402F0A" w:rsidRDefault="00402F0A" w:rsidP="00402F0A">
      <w:pPr>
        <w:spacing w:after="120"/>
      </w:pPr>
      <w:r w:rsidRPr="00AC6A40">
        <w:t>The program will be open to new and existing non-physician professionals such as nurses, physician assistances, social workers, and community health workers. Participating professionals will be required to make a three-year service commitment with providers that serve at least 30 percent of Medicaid members and/or uninsured individuals.</w:t>
      </w:r>
      <w:r>
        <w:t xml:space="preserve"> </w:t>
      </w:r>
    </w:p>
    <w:p w14:paraId="2EB64FD7" w14:textId="77777777" w:rsidR="00402F0A" w:rsidRDefault="00402F0A" w:rsidP="00402F0A">
      <w:pPr>
        <w:pStyle w:val="Heading2"/>
      </w:pPr>
      <w:bookmarkStart w:id="42" w:name="_Toc207704036"/>
      <w:r w:rsidRPr="00B76E64">
        <w:t>Value Based Payment (VBP) Roadmap</w:t>
      </w:r>
      <w:bookmarkEnd w:id="42"/>
    </w:p>
    <w:p w14:paraId="2321C03A" w14:textId="77777777" w:rsidR="00402F0A" w:rsidRDefault="00402F0A" w:rsidP="00402F0A">
      <w:pPr>
        <w:spacing w:before="120" w:after="120"/>
        <w:rPr>
          <w:shd w:val="clear" w:color="auto" w:fill="FFFFFF"/>
        </w:rPr>
      </w:pPr>
      <w:r>
        <w:rPr>
          <w:shd w:val="clear" w:color="auto" w:fill="FFFFFF"/>
        </w:rPr>
        <w:t xml:space="preserve">Under DSRIP, NYS was required to submit the five-year VBP Roadmap as part of a sustainability plan to maintain post-DSRIP improvements. The VBP Roadmap outlined how NYS would seek to </w:t>
      </w:r>
      <w:r>
        <w:rPr>
          <w:shd w:val="clear" w:color="auto" w:fill="FFFFFF"/>
        </w:rPr>
        <w:lastRenderedPageBreak/>
        <w:t>move at least 80% of Medicaid managed care payments into VBP models, and at least 35% of payments through models involving downside risk. As of April 2020, NYS found that these goals had been met, with 86% of payments made through VBP models and 56% of payments involving downside risk.</w:t>
      </w:r>
    </w:p>
    <w:p w14:paraId="60D831BB" w14:textId="77777777" w:rsidR="00402F0A" w:rsidRDefault="00402F0A" w:rsidP="00402F0A">
      <w:pPr>
        <w:spacing w:before="120" w:after="120"/>
        <w:rPr>
          <w:shd w:val="clear" w:color="auto" w:fill="FFFFFF"/>
        </w:rPr>
      </w:pPr>
      <w:r>
        <w:rPr>
          <w:shd w:val="clear" w:color="auto" w:fill="FFFFFF"/>
        </w:rPr>
        <w:t>All VBP models involved the creation of a target budget for providing a set of services to a specific attributed population, with providers eligible to receive shared savings if they met quality metrics and if costs were below the target budget. This definition was more stringent than the corresponding Medicare definition by excluding FFS payment models with quality bonuses not tied to a target budget.</w:t>
      </w:r>
    </w:p>
    <w:p w14:paraId="60F8C9C5" w14:textId="77777777" w:rsidR="00402F0A" w:rsidRDefault="00402F0A" w:rsidP="00402F0A">
      <w:pPr>
        <w:spacing w:before="120" w:after="120"/>
      </w:pPr>
      <w:r>
        <w:t>The VBP Roadmap included a menu of VBP arrangements acceptable to NYS. The menu originally included four broad categories, but in the current Roadmap, it has been consolidated to a list of seven specific designs, including Total Care for the General Population (TCGP), under which the target budget incorporates the cost of all Medicaid-covered services; five subpopulation arrangements, under which the target budget incorporates total cost of care for a population of HARP enrollees, MLTC enrollees, people with I/DD, people with HIV/AIDS, or children; and the Maternity Care bundle. “Off-menu” arrangements are also be permitted, subject to State approval. The Roadmap also specifies various requirements for such contracts, such as levels of risk and shared savings/losses.</w:t>
      </w:r>
    </w:p>
    <w:p w14:paraId="4361678D" w14:textId="77777777" w:rsidR="00402F0A" w:rsidRDefault="00402F0A" w:rsidP="00402F0A">
      <w:pPr>
        <w:spacing w:before="120" w:after="120"/>
      </w:pPr>
      <w:r>
        <w:t xml:space="preserve">While the State has not made any material changes to the VBP Roadmap since the conclusion of DSRIP, in May 2022 DOH released an </w:t>
      </w:r>
      <w:hyperlink r:id="rId26" w:history="1">
        <w:r w:rsidRPr="002D41BF">
          <w:rPr>
            <w:rStyle w:val="Hyperlink"/>
          </w:rPr>
          <w:t>updated VBP Roadmap</w:t>
        </w:r>
      </w:hyperlink>
      <w:r>
        <w:t xml:space="preserve"> to “reaffirm its commitment” to VBP and clarify expectations for providers and MCOs. The updated Roadmap largely did not contain material modifications to the parameters of the previous Roadmap. </w:t>
      </w:r>
    </w:p>
    <w:p w14:paraId="0ACE7606" w14:textId="77777777" w:rsidR="00402F0A" w:rsidRPr="00EC7AF9" w:rsidRDefault="00402F0A" w:rsidP="00402F0A">
      <w:pPr>
        <w:pStyle w:val="Heading3"/>
      </w:pPr>
      <w:bookmarkStart w:id="43" w:name="_Toc207704037"/>
      <w:r w:rsidRPr="00EC7AF9">
        <w:t>VBP Innovator</w:t>
      </w:r>
      <w:r>
        <w:t xml:space="preserve"> Program</w:t>
      </w:r>
      <w:bookmarkEnd w:id="43"/>
    </w:p>
    <w:p w14:paraId="2D9289F0" w14:textId="77777777" w:rsidR="00402F0A" w:rsidRPr="00780BDC" w:rsidRDefault="00402F0A" w:rsidP="00402F0A">
      <w:pPr>
        <w:spacing w:before="120" w:after="120"/>
        <w:rPr>
          <w:shd w:val="clear" w:color="auto" w:fill="FFFFFF"/>
        </w:rPr>
      </w:pPr>
      <w:r w:rsidRPr="00780BDC">
        <w:t>The VBP Roadmap established a VBP Innovator program for providers with significant experience in VBP contracting who sought to take on VBP models involving fully-capitated risk or substantial downside risk within shared savings arrangements. In</w:t>
      </w:r>
      <w:r w:rsidRPr="00780BDC">
        <w:rPr>
          <w:shd w:val="clear" w:color="auto" w:fill="FFFFFF"/>
        </w:rPr>
        <w:t>novator contracts are intended to involve the total cost of care for a population or subpopulation, and “are eligible for up to 95 percent of the total dollars traditionally paid from NYS to the MCO.” However, the VBP Innovator program has been dormant since 2019 and no new approvals are expected for now.</w:t>
      </w:r>
    </w:p>
    <w:p w14:paraId="69C29A25" w14:textId="77777777" w:rsidR="00402F0A" w:rsidRPr="00C05C17" w:rsidRDefault="00402F0A" w:rsidP="00402F0A">
      <w:pPr>
        <w:pStyle w:val="Heading2"/>
      </w:pPr>
      <w:bookmarkStart w:id="44" w:name="_Toc207704038"/>
      <w:r w:rsidRPr="00C05C17">
        <w:t>Continuous Medicaid/CHP Coverage for Children Waiver Amendment</w:t>
      </w:r>
      <w:bookmarkEnd w:id="44"/>
    </w:p>
    <w:p w14:paraId="69A0751A" w14:textId="595AED9E" w:rsidR="00402F0A" w:rsidRDefault="00402F0A" w:rsidP="00402F0A">
      <w:pPr>
        <w:rPr>
          <w:shd w:val="clear" w:color="auto" w:fill="FFFFFF"/>
        </w:rPr>
      </w:pPr>
      <w:r>
        <w:rPr>
          <w:shd w:val="clear" w:color="auto" w:fill="FFFFFF"/>
        </w:rPr>
        <w:t xml:space="preserve">In November 2024, CMS approved an 1115 Waiver amendment request submitted by New York to authorize </w:t>
      </w:r>
      <w:r w:rsidRPr="00117E34">
        <w:rPr>
          <w:shd w:val="clear" w:color="auto" w:fill="FFFFFF"/>
        </w:rPr>
        <w:t xml:space="preserve">continuous enrollment for Medicaid and Child Health Plus (CHP) coverage for children up to age six, regardless of whether a child’s family income exceeds eligibility limits. The proposal aims to reduce churn rates for children and will not change eligibility limits for Medicaid or CHP. Disenrollment will continue for children who are no longer NYS residents, client request, those who enrolled in error, non-compliance with eligibility requirements, death, and for those receiving </w:t>
      </w:r>
      <w:r w:rsidRPr="00117E34">
        <w:rPr>
          <w:shd w:val="clear" w:color="auto" w:fill="FFFFFF"/>
        </w:rPr>
        <w:lastRenderedPageBreak/>
        <w:t xml:space="preserve">treatment in settings where Medicaid/CHP eligibility is not available (i.e., institution for mental disease). The State estimates that over 66,000 children, on average, will receive continuous enrollment </w:t>
      </w:r>
      <w:r w:rsidR="00205D55">
        <w:rPr>
          <w:shd w:val="clear" w:color="auto" w:fill="FFFFFF"/>
        </w:rPr>
        <w:t>annually due to</w:t>
      </w:r>
      <w:r w:rsidRPr="00117E34">
        <w:rPr>
          <w:shd w:val="clear" w:color="auto" w:fill="FFFFFF"/>
        </w:rPr>
        <w:t xml:space="preserve"> this </w:t>
      </w:r>
      <w:r w:rsidR="00205D55">
        <w:rPr>
          <w:shd w:val="clear" w:color="auto" w:fill="FFFFFF"/>
        </w:rPr>
        <w:t>amendment</w:t>
      </w:r>
      <w:r w:rsidRPr="00117E34">
        <w:rPr>
          <w:shd w:val="clear" w:color="auto" w:fill="FFFFFF"/>
        </w:rPr>
        <w:t>.</w:t>
      </w:r>
      <w:r w:rsidR="007A5E15">
        <w:rPr>
          <w:shd w:val="clear" w:color="auto" w:fill="FFFFFF"/>
        </w:rPr>
        <w:t xml:space="preserve"> However, the </w:t>
      </w:r>
      <w:r w:rsidR="00AD2533">
        <w:rPr>
          <w:shd w:val="clear" w:color="auto" w:fill="FFFFFF"/>
        </w:rPr>
        <w:t xml:space="preserve">Trump Administration is seeking to phase out programs that provide continuous coverage </w:t>
      </w:r>
      <w:r w:rsidR="007D75FF">
        <w:rPr>
          <w:shd w:val="clear" w:color="auto" w:fill="FFFFFF"/>
        </w:rPr>
        <w:t>beyond what is required under Medicaid or CHIP statute</w:t>
      </w:r>
      <w:r w:rsidR="00205D55">
        <w:rPr>
          <w:shd w:val="clear" w:color="auto" w:fill="FFFFFF"/>
        </w:rPr>
        <w:t>, and the waiver amendment is not expected to be renewed in 2027</w:t>
      </w:r>
      <w:r w:rsidR="007D75FF">
        <w:rPr>
          <w:shd w:val="clear" w:color="auto" w:fill="FFFFFF"/>
        </w:rPr>
        <w:t xml:space="preserve">. </w:t>
      </w:r>
    </w:p>
    <w:p w14:paraId="4BB9435B" w14:textId="77777777" w:rsidR="00402F0A" w:rsidRDefault="00402F0A" w:rsidP="00402F0A">
      <w:pPr>
        <w:pStyle w:val="Heading1"/>
      </w:pPr>
      <w:bookmarkStart w:id="45" w:name="_Toc207704039"/>
      <w:r>
        <w:t>Safety Net and Supplemental Payments</w:t>
      </w:r>
      <w:bookmarkEnd w:id="45"/>
    </w:p>
    <w:p w14:paraId="1D59DCE4" w14:textId="77777777" w:rsidR="00402F0A" w:rsidRPr="00EC7AF9" w:rsidRDefault="00402F0A" w:rsidP="00402F0A">
      <w:pPr>
        <w:pStyle w:val="Heading2"/>
      </w:pPr>
      <w:bookmarkStart w:id="46" w:name="_Toc207704040"/>
      <w:r>
        <w:t xml:space="preserve">Medicaid </w:t>
      </w:r>
      <w:r w:rsidRPr="00EC7AF9">
        <w:t>Disproportionate Share Hospital (DSH)</w:t>
      </w:r>
      <w:r>
        <w:t xml:space="preserve"> Payments</w:t>
      </w:r>
      <w:bookmarkEnd w:id="46"/>
    </w:p>
    <w:p w14:paraId="1B7BE0B6" w14:textId="77777777" w:rsidR="00402F0A" w:rsidRDefault="00402F0A" w:rsidP="00402F0A">
      <w:pPr>
        <w:spacing w:before="120" w:after="120"/>
      </w:pPr>
      <w:r w:rsidRPr="00780BDC">
        <w:t xml:space="preserve">Federal law requires state Medicaid programs to make Disproportionate Share Hospital (DSH) payments to hospitals to offset their uncompensated care costs and improve the financial stability of safety net hospitals. Each state has its own annual DSH allotment, which limits the amount of federal funds that they can provide through DSH hospital payments. Federal law also establishes a cap on the amount of DSH payments that a state can make to any single hospital. In general, this prohibits payments that exceed the hospital’s eligible uncompensated costs. States have broad </w:t>
      </w:r>
      <w:r>
        <w:t xml:space="preserve">flexibility in determining which hospitals receive DSH payment and how the payments are calculated.  </w:t>
      </w:r>
    </w:p>
    <w:p w14:paraId="7A685D56" w14:textId="77777777" w:rsidR="00402F0A" w:rsidRPr="000D1FF1" w:rsidRDefault="00402F0A" w:rsidP="00402F0A">
      <w:pPr>
        <w:spacing w:before="120" w:after="120"/>
      </w:pPr>
      <w:r>
        <w:t xml:space="preserve">The Patient Protection and Affordable Care Act (ACA) directed the federal government to reduce Medicaid DSH allotments annually from 2014-2020. However, numerous laws have amended the DSH reductions and delayed implementation, including most recently the March 2025 continuing resolution that currently funds the government. The DSH cuts are now scheduled to take effect in October 2025, but further delays are possible. </w:t>
      </w:r>
    </w:p>
    <w:p w14:paraId="10D1A76D" w14:textId="7490331A" w:rsidR="00402F0A" w:rsidRPr="002D1C87" w:rsidRDefault="00402F0A" w:rsidP="00402F0A">
      <w:pPr>
        <w:spacing w:after="120"/>
      </w:pPr>
      <w:r>
        <w:t>In February 2024, CMS established a new methodology to limit a hospital’s Medicaid shortfall to services in which Medicaid i</w:t>
      </w:r>
      <w:r w:rsidR="00205D55">
        <w:t>s</w:t>
      </w:r>
      <w:r>
        <w:t xml:space="preserve"> the primary payer. However, hospitals in the 97</w:t>
      </w:r>
      <w:r w:rsidRPr="002176F2">
        <w:rPr>
          <w:vertAlign w:val="superscript"/>
        </w:rPr>
        <w:t>th</w:t>
      </w:r>
      <w:r>
        <w:t xml:space="preserve"> percentile of patients that qualify for Medicare Part A and </w:t>
      </w:r>
      <w:r w:rsidRPr="0038329C">
        <w:t>Supplemental Security Income (SSI)</w:t>
      </w:r>
      <w:r>
        <w:t xml:space="preserve"> benefits are exempt from these changes and will receive a hospital-specific limit.</w:t>
      </w:r>
    </w:p>
    <w:p w14:paraId="5610CBC0" w14:textId="77777777" w:rsidR="00402F0A" w:rsidRDefault="00402F0A" w:rsidP="00402F0A">
      <w:pPr>
        <w:spacing w:before="120" w:after="120"/>
      </w:pPr>
      <w:r>
        <w:t xml:space="preserve">NYS distributes its annual DSH allotment through four major programs: </w:t>
      </w:r>
    </w:p>
    <w:p w14:paraId="5D6565B5" w14:textId="77777777" w:rsidR="00402F0A" w:rsidRDefault="00402F0A" w:rsidP="005D787B">
      <w:pPr>
        <w:pStyle w:val="ListParagraph"/>
        <w:numPr>
          <w:ilvl w:val="0"/>
          <w:numId w:val="16"/>
        </w:numPr>
        <w:spacing w:before="120" w:after="120" w:line="240" w:lineRule="auto"/>
      </w:pPr>
      <w:r>
        <w:t xml:space="preserve">The Indigent Care Pool (ICP); </w:t>
      </w:r>
    </w:p>
    <w:p w14:paraId="15FBAC3F" w14:textId="77777777" w:rsidR="00402F0A" w:rsidRDefault="00402F0A" w:rsidP="005D787B">
      <w:pPr>
        <w:pStyle w:val="ListParagraph"/>
        <w:numPr>
          <w:ilvl w:val="0"/>
          <w:numId w:val="16"/>
        </w:numPr>
        <w:spacing w:before="120" w:after="120" w:line="240" w:lineRule="auto"/>
      </w:pPr>
      <w:r>
        <w:t>The Indigent Care Adjustment (ICA);</w:t>
      </w:r>
    </w:p>
    <w:p w14:paraId="730B980B" w14:textId="77777777" w:rsidR="00402F0A" w:rsidRDefault="00402F0A" w:rsidP="005D787B">
      <w:pPr>
        <w:pStyle w:val="ListParagraph"/>
        <w:numPr>
          <w:ilvl w:val="0"/>
          <w:numId w:val="16"/>
        </w:numPr>
        <w:spacing w:before="120" w:after="120" w:line="240" w:lineRule="auto"/>
      </w:pPr>
      <w:r>
        <w:t xml:space="preserve">DSH Intergovernmental Transfers (IGTs); and </w:t>
      </w:r>
    </w:p>
    <w:p w14:paraId="1ED4CFD1" w14:textId="77777777" w:rsidR="00402F0A" w:rsidRDefault="00402F0A" w:rsidP="005D787B">
      <w:pPr>
        <w:pStyle w:val="ListParagraph"/>
        <w:numPr>
          <w:ilvl w:val="0"/>
          <w:numId w:val="16"/>
        </w:numPr>
        <w:spacing w:before="120" w:after="120" w:line="240" w:lineRule="auto"/>
      </w:pPr>
      <w:r>
        <w:t xml:space="preserve">DSH for Institutes for Mental Disease (IMDs). </w:t>
      </w:r>
    </w:p>
    <w:p w14:paraId="6535351A" w14:textId="77777777" w:rsidR="00402F0A" w:rsidRPr="000B31FC" w:rsidRDefault="00402F0A" w:rsidP="00402F0A">
      <w:pPr>
        <w:spacing w:before="120" w:after="120"/>
      </w:pPr>
      <w:r>
        <w:t xml:space="preserve">The ICA and DSH IGT payments, which represent the bulk of these payments, are provided to public hospitals only, while DSH for IMDs is provided to specialty psychiatric hospitals operated by OMH. </w:t>
      </w:r>
    </w:p>
    <w:p w14:paraId="15A1D856" w14:textId="77777777" w:rsidR="002F548E" w:rsidRDefault="002F548E" w:rsidP="00402F0A">
      <w:pPr>
        <w:pStyle w:val="Heading2"/>
      </w:pPr>
      <w:bookmarkStart w:id="47" w:name="_Toc207704041"/>
    </w:p>
    <w:p w14:paraId="45431EC8" w14:textId="428223BD" w:rsidR="00402F0A" w:rsidRPr="00126604" w:rsidRDefault="00402F0A" w:rsidP="00402F0A">
      <w:pPr>
        <w:pStyle w:val="Heading2"/>
      </w:pPr>
      <w:r>
        <w:lastRenderedPageBreak/>
        <w:t>Indigent Care Pool (ICP)</w:t>
      </w:r>
      <w:bookmarkEnd w:id="47"/>
    </w:p>
    <w:p w14:paraId="3B00AD8E" w14:textId="77777777" w:rsidR="00402F0A" w:rsidRPr="00780BDC" w:rsidRDefault="00402F0A" w:rsidP="00402F0A">
      <w:pPr>
        <w:spacing w:before="120" w:after="120"/>
      </w:pPr>
      <w:r w:rsidRPr="00780BDC">
        <w:t xml:space="preserve">The Indigent Care Pool (ICP) makes Medicaid DSH funding available to hospitals statewide. The distribution of ICP funding has been a subject of long-term ongoing controversy. Multiple reports have found that ICP payments are not sufficiently tied to the actual delivery of uncompensated care. In 2013, the ICP formula was changed to exclude provisions for bad debt and teaching hospitals so that it would, in future, be based solely on the amount and cost of services that a hospital provides to uninsured and Medicaid patients. However, the formula included a “transition collar” which limited the rate at which a hospital’s ICP payments would change. As a result, the effective change in distributions was limited. </w:t>
      </w:r>
    </w:p>
    <w:p w14:paraId="240F04B1" w14:textId="77777777" w:rsidR="00402F0A" w:rsidRPr="00780BDC" w:rsidRDefault="00402F0A" w:rsidP="00402F0A">
      <w:pPr>
        <w:spacing w:before="120" w:after="120"/>
      </w:pPr>
      <w:r w:rsidRPr="00780BDC">
        <w:t xml:space="preserve">In 2020, in connection with recommendations by the MRT II, the ICP distribution was overhauled again, and in recent years further cuts to the ICP have been implemented, reducing the total funding to $734.6 million while implementing a gradual transition to serve primarily the designated set of Enhanced Safety Net Hospitals (ESNHs). ESNHs are exempted from the decrease and provided with an additional $64.6 million to offset the elimination of the previous transition collar (the “ESNH Transition Collar Pool”). </w:t>
      </w:r>
    </w:p>
    <w:p w14:paraId="6F33C78D" w14:textId="77777777" w:rsidR="00402F0A" w:rsidRPr="00780BDC" w:rsidRDefault="00402F0A" w:rsidP="00402F0A">
      <w:pPr>
        <w:spacing w:before="120" w:after="120"/>
      </w:pPr>
      <w:r w:rsidRPr="00780BDC">
        <w:t>An ESHN must meet all of the following criteria in at least one of the last three years:</w:t>
      </w:r>
    </w:p>
    <w:p w14:paraId="307B507A" w14:textId="77777777" w:rsidR="00402F0A" w:rsidRPr="00780BDC" w:rsidRDefault="00402F0A" w:rsidP="005D787B">
      <w:pPr>
        <w:pStyle w:val="ListParagraph"/>
        <w:numPr>
          <w:ilvl w:val="0"/>
          <w:numId w:val="16"/>
        </w:numPr>
        <w:spacing w:before="120" w:after="120" w:line="240" w:lineRule="auto"/>
      </w:pPr>
      <w:r w:rsidRPr="00780BDC">
        <w:t>At least 50% of the hospital’s overall patient population is Medicaid or uninsured patients;</w:t>
      </w:r>
    </w:p>
    <w:p w14:paraId="05CB3383" w14:textId="77777777" w:rsidR="00402F0A" w:rsidRPr="00780BDC" w:rsidRDefault="00402F0A" w:rsidP="005D787B">
      <w:pPr>
        <w:pStyle w:val="ListParagraph"/>
        <w:numPr>
          <w:ilvl w:val="0"/>
          <w:numId w:val="16"/>
        </w:numPr>
        <w:spacing w:before="120" w:after="120" w:line="240" w:lineRule="auto"/>
      </w:pPr>
      <w:r w:rsidRPr="00780BDC">
        <w:t>At least 40% of the hospital’s inpatient discharges have been covered by Medicaid;</w:t>
      </w:r>
    </w:p>
    <w:p w14:paraId="5F83DE3D" w14:textId="77777777" w:rsidR="00402F0A" w:rsidRPr="00780BDC" w:rsidRDefault="00402F0A" w:rsidP="005D787B">
      <w:pPr>
        <w:pStyle w:val="ListParagraph"/>
        <w:numPr>
          <w:ilvl w:val="0"/>
          <w:numId w:val="16"/>
        </w:numPr>
        <w:spacing w:before="120" w:after="120" w:line="240" w:lineRule="auto"/>
      </w:pPr>
      <w:r w:rsidRPr="00780BDC">
        <w:t>At least 3% of the hospital’s overall patients are uninsured;</w:t>
      </w:r>
    </w:p>
    <w:p w14:paraId="60F1A618" w14:textId="77777777" w:rsidR="00402F0A" w:rsidRPr="00780BDC" w:rsidRDefault="00402F0A" w:rsidP="005D787B">
      <w:pPr>
        <w:pStyle w:val="ListParagraph"/>
        <w:numPr>
          <w:ilvl w:val="0"/>
          <w:numId w:val="16"/>
        </w:numPr>
        <w:spacing w:before="120" w:after="120" w:line="240" w:lineRule="auto"/>
      </w:pPr>
      <w:r w:rsidRPr="00780BDC">
        <w:t xml:space="preserve">No more than 25% of the hospital’s inpatient discharges are commercially insured; </w:t>
      </w:r>
      <w:r w:rsidRPr="00780BDC">
        <w:rPr>
          <w:u w:val="single"/>
        </w:rPr>
        <w:t>and</w:t>
      </w:r>
    </w:p>
    <w:p w14:paraId="317DE20D" w14:textId="77777777" w:rsidR="00402F0A" w:rsidRPr="00780BDC" w:rsidRDefault="00402F0A" w:rsidP="005D787B">
      <w:pPr>
        <w:pStyle w:val="ListParagraph"/>
        <w:numPr>
          <w:ilvl w:val="0"/>
          <w:numId w:val="16"/>
        </w:numPr>
        <w:spacing w:before="120" w:after="120" w:line="240" w:lineRule="auto"/>
      </w:pPr>
      <w:r w:rsidRPr="00780BDC">
        <w:t>The hospital provides care to the uninsured through the emergency department, hospital-based clinics, and community-based clinics.</w:t>
      </w:r>
    </w:p>
    <w:p w14:paraId="4555E5D0" w14:textId="77777777" w:rsidR="00402F0A" w:rsidRPr="00780BDC" w:rsidRDefault="00402F0A" w:rsidP="00402F0A">
      <w:pPr>
        <w:spacing w:before="120" w:after="120"/>
      </w:pPr>
      <w:r w:rsidRPr="00780BDC">
        <w:t>Public hospitals, Critical Access Hospitals (CAHs), and Sole Community Hospitals (SCHs) also qualify as ESHNs. However, under the FY 2026 Budget, as of April 2025, Health + Hospitals would no longer be eligible to receive $113 million in ICP funding (with this funding instead expected to be provided through a state-directed payment). This will reduce the total public hospital portion of the ICP to $26 million.</w:t>
      </w:r>
    </w:p>
    <w:p w14:paraId="0B5E3548" w14:textId="77777777" w:rsidR="00402F0A" w:rsidRDefault="00402F0A" w:rsidP="00402F0A">
      <w:pPr>
        <w:pStyle w:val="Heading3"/>
      </w:pPr>
      <w:bookmarkStart w:id="48" w:name="_Toc207704042"/>
      <w:r>
        <w:t>CCBHC Indigent Care Program</w:t>
      </w:r>
      <w:bookmarkEnd w:id="48"/>
    </w:p>
    <w:p w14:paraId="382EC108" w14:textId="77777777" w:rsidR="00402F0A" w:rsidRDefault="00402F0A" w:rsidP="00402F0A">
      <w:r>
        <w:t>The 2023-24 Enacted NYS Budget developed a new Indigent Care program to assist CCBHCs in recovering losses resulting from uncompensated care. Funding is based on “actual, reported losses” and will be distributed proportionally to such losses. CCBHCs with at least 3% of total visits by uninsured individuals are eligible for the program. The legislation provides allocations for three years, from July 2023 through June 2026:</w:t>
      </w:r>
    </w:p>
    <w:p w14:paraId="74B01A62" w14:textId="77777777" w:rsidR="00402F0A" w:rsidRDefault="00402F0A" w:rsidP="005D787B">
      <w:pPr>
        <w:pStyle w:val="ListParagraph"/>
        <w:numPr>
          <w:ilvl w:val="0"/>
          <w:numId w:val="21"/>
        </w:numPr>
        <w:spacing w:after="0" w:line="240" w:lineRule="auto"/>
      </w:pPr>
      <w:r>
        <w:t>July 1, 2023 through June 30, 2024: $22.5 million</w:t>
      </w:r>
    </w:p>
    <w:p w14:paraId="22F11093" w14:textId="77777777" w:rsidR="00402F0A" w:rsidRDefault="00402F0A" w:rsidP="005D787B">
      <w:pPr>
        <w:pStyle w:val="ListParagraph"/>
        <w:numPr>
          <w:ilvl w:val="0"/>
          <w:numId w:val="21"/>
        </w:numPr>
        <w:spacing w:after="0" w:line="240" w:lineRule="auto"/>
      </w:pPr>
      <w:r>
        <w:t>July 1, 2024 through June 30, 2025: $41,25 million</w:t>
      </w:r>
    </w:p>
    <w:p w14:paraId="15158B55" w14:textId="77777777" w:rsidR="00402F0A" w:rsidRPr="00273BD3" w:rsidRDefault="00402F0A" w:rsidP="005D787B">
      <w:pPr>
        <w:pStyle w:val="ListParagraph"/>
        <w:numPr>
          <w:ilvl w:val="0"/>
          <w:numId w:val="21"/>
        </w:numPr>
        <w:spacing w:after="0" w:line="240" w:lineRule="auto"/>
      </w:pPr>
      <w:r>
        <w:t>July 1, 2025 through June 30, 2026: $45 million</w:t>
      </w:r>
    </w:p>
    <w:p w14:paraId="768EEAA2" w14:textId="77777777" w:rsidR="00402F0A" w:rsidRDefault="00402F0A" w:rsidP="00402F0A">
      <w:pPr>
        <w:pStyle w:val="Heading2"/>
      </w:pPr>
      <w:bookmarkStart w:id="49" w:name="_Toc207704043"/>
      <w:r>
        <w:lastRenderedPageBreak/>
        <w:t>State-Directed Payments to Financially Distressed Hospitals</w:t>
      </w:r>
      <w:bookmarkEnd w:id="49"/>
    </w:p>
    <w:p w14:paraId="63CC2FE0" w14:textId="77777777" w:rsidR="00402F0A" w:rsidRDefault="00402F0A" w:rsidP="00402F0A">
      <w:pPr>
        <w:spacing w:before="120" w:after="120"/>
      </w:pPr>
      <w:r>
        <w:t xml:space="preserve">In 2021, NYS applied to CMS for approval of a Section 438.6 state-directed payment preprint to direct additional funds to financially distressed safety-net hospitals. The state-directed preprint provides federal authority for NYS to direct MMC plans to make payment at enhanced rates to a class of providers. This payment authority would serve as a partial replacement for the VBP Quality Improvement Program (VBP QIP), which was originally authorized as part of the DSRIP program and serves a similar purpose. Under this program, safety net hospitals are defined as not-for-profit hospitals that have a payer mix by volume of at least 36% Medicaid. </w:t>
      </w:r>
    </w:p>
    <w:p w14:paraId="2B559B4A" w14:textId="77777777" w:rsidR="00402F0A" w:rsidRDefault="00402F0A" w:rsidP="00402F0A">
      <w:pPr>
        <w:spacing w:before="120" w:after="120"/>
      </w:pPr>
      <w:r>
        <w:t>NYS has renewed this initiative annually, and it was last authorized through March 31, 2025 for a payment of over $1.8 billion. However, under the One Big Beautiful Bill Act that was passed in July 2025, future state-directed payments in Medicaid will be frozen through 2028 and then reduced annually by 10 percent until they reach 100 percent of Medicare (for ACA Expansion states). Over time, this provision, if maintained, will significantly limit the amount of funding available to safety nets through this method.</w:t>
      </w:r>
    </w:p>
    <w:p w14:paraId="0E33237A" w14:textId="77777777" w:rsidR="00402F0A" w:rsidRDefault="00402F0A" w:rsidP="00402F0A">
      <w:pPr>
        <w:pStyle w:val="Heading2"/>
      </w:pPr>
      <w:bookmarkStart w:id="50" w:name="_Toc207704044"/>
      <w:r>
        <w:t>The Upper Payment Limit (UPL) and Other Supplemental Payments</w:t>
      </w:r>
      <w:bookmarkEnd w:id="50"/>
    </w:p>
    <w:p w14:paraId="5AE4BEA2" w14:textId="77777777" w:rsidR="00402F0A" w:rsidRDefault="00402F0A" w:rsidP="00402F0A">
      <w:pPr>
        <w:spacing w:before="120" w:after="120"/>
      </w:pPr>
      <w:r>
        <w:t xml:space="preserve">States may choose to make further Medicaid supplemental payments to providers, but federal regulations prohibit matching funds from being used for FFS payments above an Upper Payment Limit (UPL). The UPL is meant to ensure that Medicaid pays no more than Medicare would pay for the same services. Rather than being applied at the claim level, the UPL applies to aggregate classes of providers, such as hospital inpatient services, hospital outpatient services, nursing homes, ICF/IIDs, and freestanding clinics. UPLs are also calculated separately for each category based on ownership type (state, non-state government, and voluntary private). </w:t>
      </w:r>
    </w:p>
    <w:p w14:paraId="1472395A" w14:textId="77777777" w:rsidR="00402F0A" w:rsidRDefault="00402F0A" w:rsidP="00402F0A">
      <w:pPr>
        <w:spacing w:before="120" w:after="120"/>
      </w:pPr>
      <w:r>
        <w:t>States are required to make annual reports of their UPL calculations to CMS. Because a state’s UPL is calculated based on FFS utilization, transitioning populations to managed care tends to decrease the UPL. UPL amounts are adjusted by State Plan Amendment on a regular basis.</w:t>
      </w:r>
    </w:p>
    <w:p w14:paraId="7D0EE5C4" w14:textId="77777777" w:rsidR="00402F0A" w:rsidRDefault="00402F0A" w:rsidP="00402F0A">
      <w:r>
        <w:t xml:space="preserve">NYS may elect to make further safety net payments to hospitals, but in general, any such payments would not be matchable by federal funds through Medicaid and would have to be funded through State-only funds. Various programs, such as the Vital Access Provider Assurance Program (VAPAP), have been established for this purpose in the past. </w:t>
      </w:r>
    </w:p>
    <w:p w14:paraId="3F91999F" w14:textId="77777777" w:rsidR="00402F0A" w:rsidRPr="00991CBB" w:rsidRDefault="00402F0A" w:rsidP="00402F0A">
      <w:pPr>
        <w:pStyle w:val="Heading2"/>
      </w:pPr>
      <w:bookmarkStart w:id="51" w:name="_Toc207704045"/>
      <w:r>
        <w:t>Safety Net Transformation Program</w:t>
      </w:r>
      <w:bookmarkEnd w:id="51"/>
    </w:p>
    <w:p w14:paraId="4FBF478C" w14:textId="77777777" w:rsidR="00402F0A" w:rsidRPr="00780BDC" w:rsidRDefault="00402F0A" w:rsidP="00402F0A">
      <w:pPr>
        <w:spacing w:after="120"/>
      </w:pPr>
      <w:r w:rsidRPr="00780BDC">
        <w:t xml:space="preserve">The Safety Net Transformation Program, enacted under Part S of the Health and Mental Hygiene bill in the 2024-25 Enacted NYS Budget, is designed to offer a single structure through which safety net hospitals may access the funding and regulatory flexibility needed to enact transformation projects. Such projects will have the goal of improving care, achieving sustainability, </w:t>
      </w:r>
      <w:r w:rsidRPr="00780BDC">
        <w:lastRenderedPageBreak/>
        <w:t>and encouraging clinical partnerships. This program was dedicated an additional $300 million of operating support and $1 billion of capital support in the FY 2025-26 Budget. However, this funding is partly contingent on the State’s MCO provider tax, which is likely to be rescinded by the Trump Administration by 2026, requiring the State to make a determination about how to continue funding.</w:t>
      </w:r>
    </w:p>
    <w:p w14:paraId="78289714" w14:textId="77777777" w:rsidR="00402F0A" w:rsidRPr="00780BDC" w:rsidRDefault="00402F0A" w:rsidP="00402F0A">
      <w:pPr>
        <w:spacing w:after="120"/>
      </w:pPr>
      <w:r w:rsidRPr="00780BDC">
        <w:t>Awards may include capital funding, operating subsidies, or a combination of both. Applicants may also request waivers of state regulations if needed to more efficiently implement projects. However, DOH is not permitted to waive regulations that would affect patient safety and other rights, scope of practice, environmental protections, occupational standards, quality of care, safe staffing, and certain other areas.</w:t>
      </w:r>
    </w:p>
    <w:p w14:paraId="4838D692" w14:textId="77777777" w:rsidR="00402F0A" w:rsidRPr="00780BDC" w:rsidRDefault="00402F0A" w:rsidP="00402F0A">
      <w:pPr>
        <w:spacing w:after="120"/>
      </w:pPr>
      <w:r w:rsidRPr="00780BDC">
        <w:t>Applications for this program must be jointly submitted by a safety net hospital and at least one partner organization. The partnership may, but is not required to, culminate in a merger, acquisition, management services contract, or clinical integration.</w:t>
      </w:r>
    </w:p>
    <w:p w14:paraId="478C8611" w14:textId="77777777" w:rsidR="00402F0A" w:rsidRPr="00780BDC" w:rsidRDefault="00402F0A" w:rsidP="00402F0A">
      <w:pPr>
        <w:spacing w:after="120"/>
      </w:pPr>
      <w:r w:rsidRPr="00780BDC">
        <w:t>Eligible hospital applicants must be defined as a safety net hospital under New York Public Health Law by meeting at least one of the following four criteria:</w:t>
      </w:r>
    </w:p>
    <w:p w14:paraId="75000AA5" w14:textId="77777777" w:rsidR="00402F0A" w:rsidRPr="00780BDC" w:rsidRDefault="00402F0A" w:rsidP="005D787B">
      <w:pPr>
        <w:numPr>
          <w:ilvl w:val="0"/>
          <w:numId w:val="19"/>
        </w:numPr>
        <w:spacing w:after="0" w:line="240" w:lineRule="auto"/>
      </w:pPr>
      <w:r w:rsidRPr="00780BDC">
        <w:t>Be a public hospital, rural emergency hospital (REH), critical access hospital (CAH), or sole community hospital;</w:t>
      </w:r>
    </w:p>
    <w:p w14:paraId="1DA55F4B" w14:textId="77777777" w:rsidR="00402F0A" w:rsidRPr="00780BDC" w:rsidRDefault="00402F0A" w:rsidP="005D787B">
      <w:pPr>
        <w:numPr>
          <w:ilvl w:val="0"/>
          <w:numId w:val="19"/>
        </w:numPr>
        <w:spacing w:after="0" w:line="240" w:lineRule="auto"/>
      </w:pPr>
      <w:r w:rsidRPr="00780BDC">
        <w:t>Have at least 30% of its inpatient discharges made up of Medicaid eligible individuals, uninsured individuals, or dual eligible individuals and at least 35% of its outpatient visits made up of these populations;</w:t>
      </w:r>
    </w:p>
    <w:p w14:paraId="6C4583C1" w14:textId="77777777" w:rsidR="00402F0A" w:rsidRPr="00780BDC" w:rsidRDefault="00402F0A" w:rsidP="005D787B">
      <w:pPr>
        <w:numPr>
          <w:ilvl w:val="0"/>
          <w:numId w:val="19"/>
        </w:numPr>
        <w:spacing w:after="0" w:line="240" w:lineRule="auto"/>
      </w:pPr>
      <w:r w:rsidRPr="00780BDC">
        <w:t>Serve at least 30% of the residents of a county or multi-county area who are Medicaid eligible individuals, uninsured individuals, or dual eligible individuals; or</w:t>
      </w:r>
    </w:p>
    <w:p w14:paraId="41DC7634" w14:textId="77777777" w:rsidR="00402F0A" w:rsidRPr="00780BDC" w:rsidRDefault="00402F0A" w:rsidP="005D787B">
      <w:pPr>
        <w:numPr>
          <w:ilvl w:val="0"/>
          <w:numId w:val="19"/>
        </w:numPr>
        <w:spacing w:after="120" w:line="240" w:lineRule="auto"/>
      </w:pPr>
      <w:r w:rsidRPr="00780BDC">
        <w:t>In the discretion of the Commissioner of Health, serve a significant population of Medicaid eligible individuals, uninsured individuals, or dual eligible individuals.</w:t>
      </w:r>
    </w:p>
    <w:p w14:paraId="41AF82BB" w14:textId="77777777" w:rsidR="00402F0A" w:rsidRPr="00780BDC" w:rsidRDefault="00402F0A" w:rsidP="00402F0A">
      <w:pPr>
        <w:spacing w:after="120"/>
      </w:pPr>
      <w:r w:rsidRPr="00780BDC">
        <w:t>Applicants must identify at least one partner organization with which they will jointly apply for the program. Such partner organizations may include, but are not limited to:</w:t>
      </w:r>
    </w:p>
    <w:p w14:paraId="0537119C" w14:textId="77777777" w:rsidR="00402F0A" w:rsidRPr="00780BDC" w:rsidRDefault="00402F0A" w:rsidP="005D787B">
      <w:pPr>
        <w:numPr>
          <w:ilvl w:val="0"/>
          <w:numId w:val="20"/>
        </w:numPr>
        <w:spacing w:after="0" w:line="240" w:lineRule="auto"/>
      </w:pPr>
      <w:r w:rsidRPr="00780BDC">
        <w:t>Health systems;</w:t>
      </w:r>
    </w:p>
    <w:p w14:paraId="2CAB40B3" w14:textId="77777777" w:rsidR="00402F0A" w:rsidRPr="00780BDC" w:rsidRDefault="00402F0A" w:rsidP="005D787B">
      <w:pPr>
        <w:numPr>
          <w:ilvl w:val="0"/>
          <w:numId w:val="20"/>
        </w:numPr>
        <w:spacing w:after="0" w:line="240" w:lineRule="auto"/>
      </w:pPr>
      <w:r w:rsidRPr="00780BDC">
        <w:t>Hospitals;</w:t>
      </w:r>
    </w:p>
    <w:p w14:paraId="40DDE141" w14:textId="77777777" w:rsidR="00402F0A" w:rsidRPr="00780BDC" w:rsidRDefault="00402F0A" w:rsidP="005D787B">
      <w:pPr>
        <w:numPr>
          <w:ilvl w:val="0"/>
          <w:numId w:val="20"/>
        </w:numPr>
        <w:spacing w:after="0" w:line="240" w:lineRule="auto"/>
      </w:pPr>
      <w:r w:rsidRPr="00780BDC">
        <w:t>Health plans;</w:t>
      </w:r>
    </w:p>
    <w:p w14:paraId="1B17465E" w14:textId="77777777" w:rsidR="00402F0A" w:rsidRPr="00780BDC" w:rsidRDefault="00402F0A" w:rsidP="005D787B">
      <w:pPr>
        <w:numPr>
          <w:ilvl w:val="0"/>
          <w:numId w:val="20"/>
        </w:numPr>
        <w:spacing w:after="0" w:line="240" w:lineRule="auto"/>
      </w:pPr>
      <w:r w:rsidRPr="00780BDC">
        <w:t>Residential health care facilities;</w:t>
      </w:r>
    </w:p>
    <w:p w14:paraId="66F35020" w14:textId="77777777" w:rsidR="00402F0A" w:rsidRPr="00780BDC" w:rsidRDefault="00402F0A" w:rsidP="005D787B">
      <w:pPr>
        <w:numPr>
          <w:ilvl w:val="0"/>
          <w:numId w:val="20"/>
        </w:numPr>
        <w:spacing w:after="0" w:line="240" w:lineRule="auto"/>
      </w:pPr>
      <w:r w:rsidRPr="00780BDC">
        <w:t>Physician groups;</w:t>
      </w:r>
    </w:p>
    <w:p w14:paraId="1F55BC82" w14:textId="77777777" w:rsidR="00402F0A" w:rsidRPr="00780BDC" w:rsidRDefault="00402F0A" w:rsidP="005D787B">
      <w:pPr>
        <w:numPr>
          <w:ilvl w:val="0"/>
          <w:numId w:val="20"/>
        </w:numPr>
        <w:spacing w:after="0" w:line="240" w:lineRule="auto"/>
      </w:pPr>
      <w:r w:rsidRPr="00780BDC">
        <w:t>Community-based organizations; and</w:t>
      </w:r>
    </w:p>
    <w:p w14:paraId="712C77B3" w14:textId="4A11F0AF" w:rsidR="00C75E2E" w:rsidRPr="00780BDC" w:rsidRDefault="00402F0A" w:rsidP="005D787B">
      <w:pPr>
        <w:numPr>
          <w:ilvl w:val="0"/>
          <w:numId w:val="20"/>
        </w:numPr>
        <w:spacing w:after="0" w:line="240" w:lineRule="auto"/>
      </w:pPr>
      <w:r w:rsidRPr="00780BDC">
        <w:t>Other health care entities that can serve as partners in the transformation of the safety net hospital.</w:t>
      </w:r>
    </w:p>
    <w:p w14:paraId="51F8FF3E" w14:textId="77777777" w:rsidR="00C75E2E" w:rsidRDefault="00C75E2E" w:rsidP="00097DB8"/>
    <w:p w14:paraId="5864D90B" w14:textId="030CB15F" w:rsidR="00C75E2E" w:rsidRPr="00C75E2E" w:rsidRDefault="00C75E2E" w:rsidP="00097DB8">
      <w:pPr>
        <w:pStyle w:val="Heading1"/>
      </w:pPr>
    </w:p>
    <w:sectPr w:rsidR="00C75E2E" w:rsidRPr="00C75E2E" w:rsidSect="00405DEF">
      <w:headerReference w:type="default" r:id="rId27"/>
      <w:footerReference w:type="even" r:id="rId28"/>
      <w:footerReference w:type="default" r:id="rId29"/>
      <w:headerReference w:type="first" r:id="rId30"/>
      <w:footerReference w:type="first" r:id="rId31"/>
      <w:pgSz w:w="12240" w:h="15840"/>
      <w:pgMar w:top="2101" w:right="1440" w:bottom="1440" w:left="1440" w:header="432"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126FE" w14:textId="77777777" w:rsidR="00F1480B" w:rsidRDefault="00F1480B" w:rsidP="00097DB8">
      <w:r>
        <w:separator/>
      </w:r>
    </w:p>
  </w:endnote>
  <w:endnote w:type="continuationSeparator" w:id="0">
    <w:p w14:paraId="034E0322" w14:textId="77777777" w:rsidR="00F1480B" w:rsidRDefault="00F1480B" w:rsidP="00097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Helvetica Neue Light">
    <w:altName w:val="Arial Nova Light"/>
    <w:panose1 w:val="02000403000000020004"/>
    <w:charset w:val="00"/>
    <w:family w:val="auto"/>
    <w:pitch w:val="variable"/>
    <w:sig w:usb0="A00002FF" w:usb1="5000205B" w:usb2="00000002" w:usb3="00000000" w:csb0="00000007" w:csb1="00000000"/>
  </w:font>
  <w:font w:name="Helvetica">
    <w:panose1 w:val="00000000000000000000"/>
    <w:charset w:val="00"/>
    <w:family w:val="auto"/>
    <w:pitch w:val="variable"/>
    <w:sig w:usb0="E00002FF" w:usb1="5000785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Baskerville Old Face">
    <w:panose1 w:val="02020602080505020303"/>
    <w:charset w:val="00"/>
    <w:family w:val="roman"/>
    <w:pitch w:val="variable"/>
    <w:sig w:usb0="00000003" w:usb1="00000000" w:usb2="00000000" w:usb3="00000000" w:csb0="00000001" w:csb1="00000000"/>
  </w:font>
  <w:font w:name="Times New Roman (Body CS)">
    <w:altName w:val="Times New Roman"/>
    <w:panose1 w:val="020B0604020202020204"/>
    <w:charset w:val="00"/>
    <w:family w:val="roman"/>
    <w:notTrueType/>
    <w:pitch w:val="default"/>
  </w:font>
  <w:font w:name="Helvetica Neue">
    <w:altName w:val="Sylfaen"/>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7616007"/>
      <w:docPartObj>
        <w:docPartGallery w:val="Page Numbers (Bottom of Page)"/>
        <w:docPartUnique/>
      </w:docPartObj>
    </w:sdtPr>
    <w:sdtEndPr>
      <w:rPr>
        <w:rStyle w:val="PageNumber"/>
      </w:rPr>
    </w:sdtEndPr>
    <w:sdtContent>
      <w:p w14:paraId="6BF211C4" w14:textId="77777777" w:rsidR="00C75E2E" w:rsidRDefault="00C75E2E" w:rsidP="00097DB8">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A07DB8" w14:textId="77777777" w:rsidR="00C75E2E" w:rsidRDefault="00C75E2E" w:rsidP="00097D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8811629"/>
      <w:docPartObj>
        <w:docPartGallery w:val="Page Numbers (Bottom of Page)"/>
        <w:docPartUnique/>
      </w:docPartObj>
    </w:sdtPr>
    <w:sdtEndPr>
      <w:rPr>
        <w:rStyle w:val="PageNumber"/>
      </w:rPr>
    </w:sdtEndPr>
    <w:sdtContent>
      <w:p w14:paraId="773D5FD4" w14:textId="77777777" w:rsidR="00C75E2E" w:rsidRDefault="00C75E2E" w:rsidP="00097DB8">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8923BC9" w14:textId="77777777" w:rsidR="00C75E2E" w:rsidRDefault="00C75E2E" w:rsidP="00097D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755E" w14:textId="77777777" w:rsidR="00C75E2E" w:rsidRDefault="00C75E2E" w:rsidP="00F17067">
    <w:pPr>
      <w:pStyle w:val="Footer"/>
      <w:ind w:left="-1440"/>
    </w:pPr>
    <w:r w:rsidRPr="00BE0718">
      <w:rPr>
        <w:noProof/>
      </w:rPr>
      <w:drawing>
        <wp:inline distT="0" distB="0" distL="0" distR="0" wp14:anchorId="1901D062" wp14:editId="75A411B8">
          <wp:extent cx="7772400" cy="960730"/>
          <wp:effectExtent l="0" t="0" r="0" b="5080"/>
          <wp:docPr id="1170912081" name="Picture 12" descr="A network of white do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30684" name="Picture 12" descr="A network of white dots&#10;&#10;Description automatically generated with medium confidence"/>
                  <pic:cNvPicPr/>
                </pic:nvPicPr>
                <pic:blipFill>
                  <a:blip r:embed="rId1"/>
                  <a:stretch>
                    <a:fillRect/>
                  </a:stretch>
                </pic:blipFill>
                <pic:spPr>
                  <a:xfrm>
                    <a:off x="0" y="0"/>
                    <a:ext cx="8048893" cy="99490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59397" w14:textId="77777777" w:rsidR="00F1480B" w:rsidRDefault="00F1480B" w:rsidP="00097DB8">
      <w:r>
        <w:separator/>
      </w:r>
    </w:p>
  </w:footnote>
  <w:footnote w:type="continuationSeparator" w:id="0">
    <w:p w14:paraId="41F3C0EA" w14:textId="77777777" w:rsidR="00F1480B" w:rsidRDefault="00F1480B" w:rsidP="00097DB8">
      <w:r>
        <w:continuationSeparator/>
      </w:r>
    </w:p>
  </w:footnote>
  <w:footnote w:id="1">
    <w:p w14:paraId="3C4270DA" w14:textId="273BE0B2" w:rsidR="00402F0A" w:rsidRDefault="00402F0A" w:rsidP="00402F0A">
      <w:pPr>
        <w:pStyle w:val="FootnoteText"/>
      </w:pPr>
      <w:r>
        <w:rPr>
          <w:rStyle w:val="FootnoteReference"/>
        </w:rPr>
        <w:footnoteRef/>
      </w:r>
      <w:r w:rsidRPr="00295622">
        <w:rPr>
          <w:rFonts w:ascii="Helvetica" w:hAnsi="Helvetica"/>
          <w:sz w:val="16"/>
          <w:szCs w:val="16"/>
        </w:rPr>
        <w:t xml:space="preserve">DOH reports Medicaid managed care enrollment based on roster reports, while it reports total Medicaid enrollment based on the Medicaid Data Warehouse. </w:t>
      </w:r>
      <w:r w:rsidR="00145576">
        <w:rPr>
          <w:rFonts w:ascii="Helvetica" w:hAnsi="Helvetica"/>
          <w:sz w:val="16"/>
          <w:szCs w:val="16"/>
        </w:rPr>
        <w:t>The Medicaid Data Warehouse includes categories such as Emergency Medicaid, which are not publicly reported. According to a FOIL request, Emergency Medicaid accounted for 480,000 beneficiaries in March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7444D" w14:textId="77777777" w:rsidR="00C75E2E" w:rsidRDefault="00C75E2E" w:rsidP="00097DB8">
    <w:pPr>
      <w:pStyle w:val="Header"/>
    </w:pPr>
    <w:r>
      <w:rPr>
        <w:noProof/>
      </w:rPr>
      <mc:AlternateContent>
        <mc:Choice Requires="wps">
          <w:drawing>
            <wp:anchor distT="0" distB="0" distL="114300" distR="114300" simplePos="0" relativeHeight="251661312" behindDoc="0" locked="0" layoutInCell="1" allowOverlap="1" wp14:anchorId="152400EC" wp14:editId="21441A34">
              <wp:simplePos x="0" y="0"/>
              <wp:positionH relativeFrom="column">
                <wp:posOffset>-1146509</wp:posOffset>
              </wp:positionH>
              <wp:positionV relativeFrom="paragraph">
                <wp:posOffset>847725</wp:posOffset>
              </wp:positionV>
              <wp:extent cx="8770493" cy="5334"/>
              <wp:effectExtent l="50800" t="38100" r="31115" b="83820"/>
              <wp:wrapNone/>
              <wp:docPr id="508459236" name="Straight Connector 4"/>
              <wp:cNvGraphicFramePr/>
              <a:graphic xmlns:a="http://schemas.openxmlformats.org/drawingml/2006/main">
                <a:graphicData uri="http://schemas.microsoft.com/office/word/2010/wordprocessingShape">
                  <wps:wsp>
                    <wps:cNvCnPr/>
                    <wps:spPr>
                      <a:xfrm flipV="1">
                        <a:off x="0" y="0"/>
                        <a:ext cx="8770493" cy="5334"/>
                      </a:xfrm>
                      <a:prstGeom prst="line">
                        <a:avLst/>
                      </a:prstGeom>
                      <a:ln>
                        <a:solidFill>
                          <a:srgbClr val="182E6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9AAAA9"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3pt,66.75pt" to="600.3pt,6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" strokecolor="#182e65" strokeweight="1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4CAE06C5" wp14:editId="4B469127">
              <wp:simplePos x="0" y="0"/>
              <wp:positionH relativeFrom="column">
                <wp:posOffset>-1058545</wp:posOffset>
              </wp:positionH>
              <wp:positionV relativeFrom="paragraph">
                <wp:posOffset>914233</wp:posOffset>
              </wp:positionV>
              <wp:extent cx="8770493" cy="5334"/>
              <wp:effectExtent l="50800" t="38100" r="31115" b="83820"/>
              <wp:wrapNone/>
              <wp:docPr id="65813226" name="Straight Connector 4"/>
              <wp:cNvGraphicFramePr/>
              <a:graphic xmlns:a="http://schemas.openxmlformats.org/drawingml/2006/main">
                <a:graphicData uri="http://schemas.microsoft.com/office/word/2010/wordprocessingShape">
                  <wps:wsp>
                    <wps:cNvCnPr/>
                    <wps:spPr>
                      <a:xfrm flipV="1">
                        <a:off x="0" y="0"/>
                        <a:ext cx="8770493" cy="5334"/>
                      </a:xfrm>
                      <a:prstGeom prst="line">
                        <a:avLst/>
                      </a:prstGeom>
                      <a:ln>
                        <a:solidFill>
                          <a:srgbClr val="182E6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5B6F34"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35pt,1in" to="607.25pt,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" strokecolor="#182e65" strokeweight="1pt">
              <v:stroke joinstyle="miter"/>
            </v:line>
          </w:pict>
        </mc:Fallback>
      </mc:AlternateContent>
    </w:r>
    <w:r w:rsidRPr="00C75E2E">
      <w:rPr>
        <w:noProof/>
      </w:rPr>
      <w:drawing>
        <wp:inline distT="0" distB="0" distL="0" distR="0" wp14:anchorId="6D3B59FC" wp14:editId="18F80A11">
          <wp:extent cx="4395537" cy="781680"/>
          <wp:effectExtent l="0" t="0" r="0" b="6350"/>
          <wp:docPr id="1219269984" name="Picture 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835790" name="Picture 5" descr="A close-up of a logo&#10;&#10;Description automatically generated"/>
                  <pic:cNvPicPr/>
                </pic:nvPicPr>
                <pic:blipFill>
                  <a:blip r:embed="rId1"/>
                  <a:stretch>
                    <a:fillRect/>
                  </a:stretch>
                </pic:blipFill>
                <pic:spPr>
                  <a:xfrm>
                    <a:off x="0" y="0"/>
                    <a:ext cx="4511108" cy="80223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2CEDE" w14:textId="77777777" w:rsidR="00C75E2E" w:rsidRDefault="00C75E2E" w:rsidP="00097DB8">
    <w:pPr>
      <w:pStyle w:val="Header"/>
    </w:pPr>
    <w:r>
      <w:rPr>
        <w:noProof/>
      </w:rPr>
      <mc:AlternateContent>
        <mc:Choice Requires="wps">
          <w:drawing>
            <wp:anchor distT="0" distB="0" distL="114300" distR="114300" simplePos="0" relativeHeight="251665408" behindDoc="0" locked="0" layoutInCell="1" allowOverlap="1" wp14:anchorId="7EA6E8D7" wp14:editId="643F88EC">
              <wp:simplePos x="0" y="0"/>
              <wp:positionH relativeFrom="column">
                <wp:posOffset>-1130534</wp:posOffset>
              </wp:positionH>
              <wp:positionV relativeFrom="paragraph">
                <wp:posOffset>857250</wp:posOffset>
              </wp:positionV>
              <wp:extent cx="8770493" cy="5334"/>
              <wp:effectExtent l="50800" t="38100" r="31115" b="83820"/>
              <wp:wrapNone/>
              <wp:docPr id="862469908" name="Straight Connector 4"/>
              <wp:cNvGraphicFramePr/>
              <a:graphic xmlns:a="http://schemas.openxmlformats.org/drawingml/2006/main">
                <a:graphicData uri="http://schemas.microsoft.com/office/word/2010/wordprocessingShape">
                  <wps:wsp>
                    <wps:cNvCnPr/>
                    <wps:spPr>
                      <a:xfrm flipV="1">
                        <a:off x="0" y="0"/>
                        <a:ext cx="8770493" cy="5334"/>
                      </a:xfrm>
                      <a:prstGeom prst="line">
                        <a:avLst/>
                      </a:prstGeom>
                      <a:ln>
                        <a:solidFill>
                          <a:srgbClr val="182E6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1800F9" id="Straight Connector 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pt,67.5pt" to="601.6pt,6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" strokecolor="#182e65" strokeweight="1pt">
              <v:stroke joinstyle="miter"/>
            </v:line>
          </w:pict>
        </mc:Fallback>
      </mc:AlternateContent>
    </w:r>
    <w:r>
      <w:rPr>
        <w:noProof/>
      </w:rPr>
      <mc:AlternateContent>
        <mc:Choice Requires="wps">
          <w:drawing>
            <wp:anchor distT="0" distB="0" distL="114300" distR="114300" simplePos="0" relativeHeight="251663360" behindDoc="0" locked="0" layoutInCell="1" allowOverlap="1" wp14:anchorId="7474B97F" wp14:editId="3CFD2F54">
              <wp:simplePos x="0" y="0"/>
              <wp:positionH relativeFrom="column">
                <wp:posOffset>-922020</wp:posOffset>
              </wp:positionH>
              <wp:positionV relativeFrom="paragraph">
                <wp:posOffset>923591</wp:posOffset>
              </wp:positionV>
              <wp:extent cx="8770493" cy="5334"/>
              <wp:effectExtent l="50800" t="38100" r="31115" b="83820"/>
              <wp:wrapNone/>
              <wp:docPr id="1486920957" name="Straight Connector 4"/>
              <wp:cNvGraphicFramePr/>
              <a:graphic xmlns:a="http://schemas.openxmlformats.org/drawingml/2006/main">
                <a:graphicData uri="http://schemas.microsoft.com/office/word/2010/wordprocessingShape">
                  <wps:wsp>
                    <wps:cNvCnPr/>
                    <wps:spPr>
                      <a:xfrm flipV="1">
                        <a:off x="0" y="0"/>
                        <a:ext cx="8770493" cy="5334"/>
                      </a:xfrm>
                      <a:prstGeom prst="line">
                        <a:avLst/>
                      </a:prstGeom>
                      <a:ln>
                        <a:solidFill>
                          <a:srgbClr val="182E6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EF65EE" id="Straight Connector 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6pt,72.7pt" to="618pt,7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" strokecolor="#182e65" strokeweight="1pt">
              <v:stroke joinstyle="miter"/>
            </v:line>
          </w:pict>
        </mc:Fallback>
      </mc:AlternateContent>
    </w:r>
    <w:r w:rsidRPr="00C75E2E">
      <w:rPr>
        <w:noProof/>
      </w:rPr>
      <w:drawing>
        <wp:inline distT="0" distB="0" distL="0" distR="0" wp14:anchorId="580D7C76" wp14:editId="186C97A2">
          <wp:extent cx="4395537" cy="781680"/>
          <wp:effectExtent l="0" t="0" r="0" b="6350"/>
          <wp:docPr id="1502655782" name="Picture 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835790" name="Picture 5" descr="A close-up of a logo&#10;&#10;Description automatically generated"/>
                  <pic:cNvPicPr/>
                </pic:nvPicPr>
                <pic:blipFill>
                  <a:blip r:embed="rId1"/>
                  <a:stretch>
                    <a:fillRect/>
                  </a:stretch>
                </pic:blipFill>
                <pic:spPr>
                  <a:xfrm>
                    <a:off x="0" y="0"/>
                    <a:ext cx="4511108" cy="8022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3FE5"/>
    <w:multiLevelType w:val="hybridMultilevel"/>
    <w:tmpl w:val="08029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6F25"/>
    <w:multiLevelType w:val="hybridMultilevel"/>
    <w:tmpl w:val="0600A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E3C9F"/>
    <w:multiLevelType w:val="hybridMultilevel"/>
    <w:tmpl w:val="CC62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C43A2"/>
    <w:multiLevelType w:val="hybridMultilevel"/>
    <w:tmpl w:val="D95C1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F54DEE"/>
    <w:multiLevelType w:val="hybridMultilevel"/>
    <w:tmpl w:val="3EE66334"/>
    <w:lvl w:ilvl="0" w:tplc="66A89FAE">
      <w:start w:val="2"/>
      <w:numFmt w:val="bullet"/>
      <w:lvlText w:val=""/>
      <w:lvlJc w:val="left"/>
      <w:pPr>
        <w:ind w:left="720" w:hanging="360"/>
      </w:pPr>
      <w:rPr>
        <w:rFonts w:ascii="Symbol" w:eastAsia="Times New Roman"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DF2E02"/>
    <w:multiLevelType w:val="multilevel"/>
    <w:tmpl w:val="8EEEB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0D7705"/>
    <w:multiLevelType w:val="multilevel"/>
    <w:tmpl w:val="AE326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EA0E16"/>
    <w:multiLevelType w:val="hybridMultilevel"/>
    <w:tmpl w:val="34E21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AC4910"/>
    <w:multiLevelType w:val="hybridMultilevel"/>
    <w:tmpl w:val="427A9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7F27E9"/>
    <w:multiLevelType w:val="hybridMultilevel"/>
    <w:tmpl w:val="BEAA2E9C"/>
    <w:lvl w:ilvl="0" w:tplc="10A05104">
      <w:start w:val="1"/>
      <w:numFmt w:val="bullet"/>
      <w:lvlText w:val=""/>
      <w:lvlJc w:val="left"/>
      <w:pPr>
        <w:ind w:left="780" w:hanging="360"/>
      </w:pPr>
      <w:rPr>
        <w:rFonts w:ascii="Symbol" w:eastAsiaTheme="minorHAnsi" w:hAnsi="Symbol"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32F76825"/>
    <w:multiLevelType w:val="hybridMultilevel"/>
    <w:tmpl w:val="4B4C1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1835B5"/>
    <w:multiLevelType w:val="hybridMultilevel"/>
    <w:tmpl w:val="2354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7BD341"/>
    <w:multiLevelType w:val="hybridMultilevel"/>
    <w:tmpl w:val="73109FDA"/>
    <w:lvl w:ilvl="0" w:tplc="DB4224D0">
      <w:start w:val="1"/>
      <w:numFmt w:val="bullet"/>
      <w:lvlText w:val=""/>
      <w:lvlJc w:val="left"/>
      <w:pPr>
        <w:ind w:left="720" w:hanging="360"/>
      </w:pPr>
      <w:rPr>
        <w:rFonts w:ascii="Symbol" w:hAnsi="Symbol" w:hint="default"/>
      </w:rPr>
    </w:lvl>
    <w:lvl w:ilvl="1" w:tplc="C84EE9BE">
      <w:start w:val="1"/>
      <w:numFmt w:val="bullet"/>
      <w:lvlText w:val="o"/>
      <w:lvlJc w:val="left"/>
      <w:pPr>
        <w:ind w:left="1440" w:hanging="360"/>
      </w:pPr>
      <w:rPr>
        <w:rFonts w:ascii="Courier New" w:hAnsi="Courier New" w:hint="default"/>
      </w:rPr>
    </w:lvl>
    <w:lvl w:ilvl="2" w:tplc="B282DA78">
      <w:start w:val="1"/>
      <w:numFmt w:val="bullet"/>
      <w:lvlText w:val=""/>
      <w:lvlJc w:val="left"/>
      <w:pPr>
        <w:ind w:left="2160" w:hanging="360"/>
      </w:pPr>
      <w:rPr>
        <w:rFonts w:ascii="Wingdings" w:hAnsi="Wingdings" w:hint="default"/>
      </w:rPr>
    </w:lvl>
    <w:lvl w:ilvl="3" w:tplc="B0AEAEEE">
      <w:start w:val="1"/>
      <w:numFmt w:val="bullet"/>
      <w:lvlText w:val=""/>
      <w:lvlJc w:val="left"/>
      <w:pPr>
        <w:ind w:left="2880" w:hanging="360"/>
      </w:pPr>
      <w:rPr>
        <w:rFonts w:ascii="Symbol" w:hAnsi="Symbol" w:hint="default"/>
      </w:rPr>
    </w:lvl>
    <w:lvl w:ilvl="4" w:tplc="6D90B3AC">
      <w:start w:val="1"/>
      <w:numFmt w:val="bullet"/>
      <w:lvlText w:val="o"/>
      <w:lvlJc w:val="left"/>
      <w:pPr>
        <w:ind w:left="3600" w:hanging="360"/>
      </w:pPr>
      <w:rPr>
        <w:rFonts w:ascii="Courier New" w:hAnsi="Courier New" w:hint="default"/>
      </w:rPr>
    </w:lvl>
    <w:lvl w:ilvl="5" w:tplc="5030B048">
      <w:start w:val="1"/>
      <w:numFmt w:val="bullet"/>
      <w:lvlText w:val=""/>
      <w:lvlJc w:val="left"/>
      <w:pPr>
        <w:ind w:left="4320" w:hanging="360"/>
      </w:pPr>
      <w:rPr>
        <w:rFonts w:ascii="Wingdings" w:hAnsi="Wingdings" w:hint="default"/>
      </w:rPr>
    </w:lvl>
    <w:lvl w:ilvl="6" w:tplc="6942779C">
      <w:start w:val="1"/>
      <w:numFmt w:val="bullet"/>
      <w:lvlText w:val=""/>
      <w:lvlJc w:val="left"/>
      <w:pPr>
        <w:ind w:left="5040" w:hanging="360"/>
      </w:pPr>
      <w:rPr>
        <w:rFonts w:ascii="Symbol" w:hAnsi="Symbol" w:hint="default"/>
      </w:rPr>
    </w:lvl>
    <w:lvl w:ilvl="7" w:tplc="F82C7B70">
      <w:start w:val="1"/>
      <w:numFmt w:val="bullet"/>
      <w:lvlText w:val="o"/>
      <w:lvlJc w:val="left"/>
      <w:pPr>
        <w:ind w:left="5760" w:hanging="360"/>
      </w:pPr>
      <w:rPr>
        <w:rFonts w:ascii="Courier New" w:hAnsi="Courier New" w:hint="default"/>
      </w:rPr>
    </w:lvl>
    <w:lvl w:ilvl="8" w:tplc="03088726">
      <w:start w:val="1"/>
      <w:numFmt w:val="bullet"/>
      <w:lvlText w:val=""/>
      <w:lvlJc w:val="left"/>
      <w:pPr>
        <w:ind w:left="6480" w:hanging="360"/>
      </w:pPr>
      <w:rPr>
        <w:rFonts w:ascii="Wingdings" w:hAnsi="Wingdings" w:hint="default"/>
      </w:rPr>
    </w:lvl>
  </w:abstractNum>
  <w:abstractNum w:abstractNumId="13" w15:restartNumberingAfterBreak="0">
    <w:nsid w:val="495F7645"/>
    <w:multiLevelType w:val="hybridMultilevel"/>
    <w:tmpl w:val="FEC22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DE7098"/>
    <w:multiLevelType w:val="hybridMultilevel"/>
    <w:tmpl w:val="772C6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8609E6"/>
    <w:multiLevelType w:val="hybridMultilevel"/>
    <w:tmpl w:val="01965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EB2374"/>
    <w:multiLevelType w:val="hybridMultilevel"/>
    <w:tmpl w:val="AF5AA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1323A4"/>
    <w:multiLevelType w:val="hybridMultilevel"/>
    <w:tmpl w:val="0E10FA7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8" w15:restartNumberingAfterBreak="0">
    <w:nsid w:val="655D5E15"/>
    <w:multiLevelType w:val="multilevel"/>
    <w:tmpl w:val="16C6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00706D"/>
    <w:multiLevelType w:val="hybridMultilevel"/>
    <w:tmpl w:val="8EA62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0D5250"/>
    <w:multiLevelType w:val="hybridMultilevel"/>
    <w:tmpl w:val="292618B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1" w15:restartNumberingAfterBreak="0">
    <w:nsid w:val="7BD91925"/>
    <w:multiLevelType w:val="hybridMultilevel"/>
    <w:tmpl w:val="A6768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6097650">
    <w:abstractNumId w:val="12"/>
  </w:num>
  <w:num w:numId="2" w16cid:durableId="1369406570">
    <w:abstractNumId w:val="15"/>
  </w:num>
  <w:num w:numId="3" w16cid:durableId="1497719584">
    <w:abstractNumId w:val="8"/>
  </w:num>
  <w:num w:numId="4" w16cid:durableId="1537499021">
    <w:abstractNumId w:val="11"/>
  </w:num>
  <w:num w:numId="5" w16cid:durableId="236598670">
    <w:abstractNumId w:val="7"/>
  </w:num>
  <w:num w:numId="6" w16cid:durableId="1305698234">
    <w:abstractNumId w:val="0"/>
  </w:num>
  <w:num w:numId="7" w16cid:durableId="1349913539">
    <w:abstractNumId w:val="10"/>
  </w:num>
  <w:num w:numId="8" w16cid:durableId="1371800426">
    <w:abstractNumId w:val="21"/>
  </w:num>
  <w:num w:numId="9" w16cid:durableId="1390880217">
    <w:abstractNumId w:val="1"/>
  </w:num>
  <w:num w:numId="10" w16cid:durableId="1212688872">
    <w:abstractNumId w:val="3"/>
  </w:num>
  <w:num w:numId="11" w16cid:durableId="1136609685">
    <w:abstractNumId w:val="2"/>
  </w:num>
  <w:num w:numId="12" w16cid:durableId="84108840">
    <w:abstractNumId w:val="19"/>
  </w:num>
  <w:num w:numId="13" w16cid:durableId="462187849">
    <w:abstractNumId w:val="16"/>
  </w:num>
  <w:num w:numId="14" w16cid:durableId="1284262620">
    <w:abstractNumId w:val="4"/>
  </w:num>
  <w:num w:numId="15" w16cid:durableId="385959120">
    <w:abstractNumId w:val="20"/>
  </w:num>
  <w:num w:numId="16" w16cid:durableId="1156141615">
    <w:abstractNumId w:val="13"/>
  </w:num>
  <w:num w:numId="17" w16cid:durableId="2094813380">
    <w:abstractNumId w:val="9"/>
  </w:num>
  <w:num w:numId="18" w16cid:durableId="627391067">
    <w:abstractNumId w:val="18"/>
  </w:num>
  <w:num w:numId="19" w16cid:durableId="1982146839">
    <w:abstractNumId w:val="5"/>
  </w:num>
  <w:num w:numId="20" w16cid:durableId="1010909084">
    <w:abstractNumId w:val="6"/>
  </w:num>
  <w:num w:numId="21" w16cid:durableId="154683792">
    <w:abstractNumId w:val="17"/>
  </w:num>
  <w:num w:numId="22" w16cid:durableId="308290043">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8E1"/>
    <w:rsid w:val="000076C5"/>
    <w:rsid w:val="00014C23"/>
    <w:rsid w:val="00015E7D"/>
    <w:rsid w:val="000232D1"/>
    <w:rsid w:val="00066159"/>
    <w:rsid w:val="000710FA"/>
    <w:rsid w:val="00097DB8"/>
    <w:rsid w:val="000A2BC5"/>
    <w:rsid w:val="000B6CAC"/>
    <w:rsid w:val="000C7134"/>
    <w:rsid w:val="000C76D8"/>
    <w:rsid w:val="000D1803"/>
    <w:rsid w:val="000F1006"/>
    <w:rsid w:val="000F4D3A"/>
    <w:rsid w:val="00104DD0"/>
    <w:rsid w:val="001126C9"/>
    <w:rsid w:val="0011442A"/>
    <w:rsid w:val="001363B3"/>
    <w:rsid w:val="00145576"/>
    <w:rsid w:val="00161D04"/>
    <w:rsid w:val="00165CF8"/>
    <w:rsid w:val="00171DD9"/>
    <w:rsid w:val="001B27CF"/>
    <w:rsid w:val="001C25F7"/>
    <w:rsid w:val="001D0AB1"/>
    <w:rsid w:val="001D7A10"/>
    <w:rsid w:val="001E55CF"/>
    <w:rsid w:val="001F4B43"/>
    <w:rsid w:val="00205D55"/>
    <w:rsid w:val="00232F12"/>
    <w:rsid w:val="002403DF"/>
    <w:rsid w:val="00271333"/>
    <w:rsid w:val="00286B09"/>
    <w:rsid w:val="002906D3"/>
    <w:rsid w:val="002952F9"/>
    <w:rsid w:val="00295622"/>
    <w:rsid w:val="002A049C"/>
    <w:rsid w:val="002C010B"/>
    <w:rsid w:val="002C5491"/>
    <w:rsid w:val="002F548E"/>
    <w:rsid w:val="00304089"/>
    <w:rsid w:val="003217E1"/>
    <w:rsid w:val="00355CD7"/>
    <w:rsid w:val="00380C2B"/>
    <w:rsid w:val="00390B56"/>
    <w:rsid w:val="003A1832"/>
    <w:rsid w:val="003A3A84"/>
    <w:rsid w:val="003C4711"/>
    <w:rsid w:val="003D67EF"/>
    <w:rsid w:val="00402F0A"/>
    <w:rsid w:val="00405DEF"/>
    <w:rsid w:val="004159AC"/>
    <w:rsid w:val="004361EA"/>
    <w:rsid w:val="0046436D"/>
    <w:rsid w:val="004661A9"/>
    <w:rsid w:val="0047488A"/>
    <w:rsid w:val="00477169"/>
    <w:rsid w:val="004F3FB0"/>
    <w:rsid w:val="004F613B"/>
    <w:rsid w:val="00501002"/>
    <w:rsid w:val="00525729"/>
    <w:rsid w:val="00534997"/>
    <w:rsid w:val="00541E27"/>
    <w:rsid w:val="0054251C"/>
    <w:rsid w:val="0055150B"/>
    <w:rsid w:val="0055403F"/>
    <w:rsid w:val="00564966"/>
    <w:rsid w:val="00577491"/>
    <w:rsid w:val="00582DFB"/>
    <w:rsid w:val="005A60D9"/>
    <w:rsid w:val="005A7ED2"/>
    <w:rsid w:val="005B3E7D"/>
    <w:rsid w:val="005B63D7"/>
    <w:rsid w:val="005C7093"/>
    <w:rsid w:val="005D787B"/>
    <w:rsid w:val="00631159"/>
    <w:rsid w:val="00677E3B"/>
    <w:rsid w:val="006A5656"/>
    <w:rsid w:val="006C2B4B"/>
    <w:rsid w:val="006C6512"/>
    <w:rsid w:val="00703110"/>
    <w:rsid w:val="00741FC3"/>
    <w:rsid w:val="00761E48"/>
    <w:rsid w:val="0077689B"/>
    <w:rsid w:val="00780BDC"/>
    <w:rsid w:val="00790C8B"/>
    <w:rsid w:val="007A5E15"/>
    <w:rsid w:val="007C25DD"/>
    <w:rsid w:val="007C29D4"/>
    <w:rsid w:val="007D5132"/>
    <w:rsid w:val="007D75FF"/>
    <w:rsid w:val="007D7CE3"/>
    <w:rsid w:val="0082740C"/>
    <w:rsid w:val="00863A0D"/>
    <w:rsid w:val="008C5EB5"/>
    <w:rsid w:val="008D2F68"/>
    <w:rsid w:val="008E57A6"/>
    <w:rsid w:val="008F0072"/>
    <w:rsid w:val="008F010C"/>
    <w:rsid w:val="008F37F6"/>
    <w:rsid w:val="00907B66"/>
    <w:rsid w:val="00915434"/>
    <w:rsid w:val="009168F1"/>
    <w:rsid w:val="00945833"/>
    <w:rsid w:val="009A185E"/>
    <w:rsid w:val="009B0C7B"/>
    <w:rsid w:val="009B71C3"/>
    <w:rsid w:val="009D244B"/>
    <w:rsid w:val="009E069B"/>
    <w:rsid w:val="00A0339B"/>
    <w:rsid w:val="00A12372"/>
    <w:rsid w:val="00A12C37"/>
    <w:rsid w:val="00A204BA"/>
    <w:rsid w:val="00A31461"/>
    <w:rsid w:val="00A34616"/>
    <w:rsid w:val="00A41986"/>
    <w:rsid w:val="00A70058"/>
    <w:rsid w:val="00AC1EA3"/>
    <w:rsid w:val="00AD2533"/>
    <w:rsid w:val="00AE0040"/>
    <w:rsid w:val="00B03A9F"/>
    <w:rsid w:val="00B44829"/>
    <w:rsid w:val="00B56AE0"/>
    <w:rsid w:val="00B62315"/>
    <w:rsid w:val="00B853D4"/>
    <w:rsid w:val="00B92B58"/>
    <w:rsid w:val="00BB5235"/>
    <w:rsid w:val="00BC7206"/>
    <w:rsid w:val="00BD2522"/>
    <w:rsid w:val="00BE09AE"/>
    <w:rsid w:val="00C1370C"/>
    <w:rsid w:val="00C24AD7"/>
    <w:rsid w:val="00C268AD"/>
    <w:rsid w:val="00C3050E"/>
    <w:rsid w:val="00C3589B"/>
    <w:rsid w:val="00C75E2E"/>
    <w:rsid w:val="00C86839"/>
    <w:rsid w:val="00CB0681"/>
    <w:rsid w:val="00CC2919"/>
    <w:rsid w:val="00CD1A5E"/>
    <w:rsid w:val="00CE188E"/>
    <w:rsid w:val="00D153DD"/>
    <w:rsid w:val="00D247A4"/>
    <w:rsid w:val="00D40317"/>
    <w:rsid w:val="00D447D3"/>
    <w:rsid w:val="00D62F21"/>
    <w:rsid w:val="00DA065C"/>
    <w:rsid w:val="00DA58E1"/>
    <w:rsid w:val="00DA60A2"/>
    <w:rsid w:val="00DB1A21"/>
    <w:rsid w:val="00DB6C76"/>
    <w:rsid w:val="00DD2947"/>
    <w:rsid w:val="00DD7E88"/>
    <w:rsid w:val="00DF2D83"/>
    <w:rsid w:val="00DF7AD2"/>
    <w:rsid w:val="00E21F91"/>
    <w:rsid w:val="00E26C4D"/>
    <w:rsid w:val="00E4045C"/>
    <w:rsid w:val="00E74991"/>
    <w:rsid w:val="00E8016C"/>
    <w:rsid w:val="00E82CFC"/>
    <w:rsid w:val="00E84A9A"/>
    <w:rsid w:val="00EA1282"/>
    <w:rsid w:val="00EB4883"/>
    <w:rsid w:val="00ED1868"/>
    <w:rsid w:val="00ED64CA"/>
    <w:rsid w:val="00EE750F"/>
    <w:rsid w:val="00F1480B"/>
    <w:rsid w:val="00F14F41"/>
    <w:rsid w:val="00F17067"/>
    <w:rsid w:val="00F22F9B"/>
    <w:rsid w:val="00F6146F"/>
    <w:rsid w:val="00F7684B"/>
    <w:rsid w:val="00FA64BB"/>
    <w:rsid w:val="00FC6D9F"/>
    <w:rsid w:val="00FF002B"/>
    <w:rsid w:val="00FF1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F58EF"/>
  <w15:chartTrackingRefBased/>
  <w15:docId w15:val="{2CA6D814-762B-5941-B4F2-544CBDAE7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DB8"/>
    <w:rPr>
      <w:rFonts w:ascii="Helvetica Neue Light" w:hAnsi="Helvetica Neue Light"/>
      <w:color w:val="404040" w:themeColor="text1" w:themeTint="BF"/>
      <w:sz w:val="22"/>
      <w:szCs w:val="22"/>
    </w:rPr>
  </w:style>
  <w:style w:type="paragraph" w:styleId="Heading1">
    <w:name w:val="heading 1"/>
    <w:basedOn w:val="Normal"/>
    <w:next w:val="Normal"/>
    <w:link w:val="Heading1Char"/>
    <w:uiPriority w:val="9"/>
    <w:qFormat/>
    <w:rsid w:val="00097DB8"/>
    <w:pPr>
      <w:spacing w:before="240" w:after="240" w:line="240" w:lineRule="auto"/>
      <w:contextualSpacing/>
      <w:outlineLvl w:val="0"/>
    </w:pPr>
    <w:rPr>
      <w:rFonts w:ascii="Helvetica" w:hAnsi="Helvetica"/>
      <w:b/>
      <w:bCs/>
      <w:color w:val="0F357F"/>
      <w:sz w:val="36"/>
      <w:szCs w:val="36"/>
    </w:rPr>
  </w:style>
  <w:style w:type="paragraph" w:styleId="Heading2">
    <w:name w:val="heading 2"/>
    <w:basedOn w:val="Normal"/>
    <w:next w:val="Normal"/>
    <w:link w:val="Heading2Char"/>
    <w:uiPriority w:val="9"/>
    <w:unhideWhenUsed/>
    <w:qFormat/>
    <w:rsid w:val="00097DB8"/>
    <w:pPr>
      <w:spacing w:before="240" w:after="240" w:line="240" w:lineRule="auto"/>
      <w:outlineLvl w:val="1"/>
    </w:pPr>
    <w:rPr>
      <w:rFonts w:ascii="Helvetica" w:hAnsi="Helvetica"/>
      <w:b/>
      <w:bCs/>
      <w:color w:val="297FD6"/>
      <w:sz w:val="28"/>
      <w:szCs w:val="28"/>
    </w:rPr>
  </w:style>
  <w:style w:type="paragraph" w:styleId="Heading3">
    <w:name w:val="heading 3"/>
    <w:basedOn w:val="Normal"/>
    <w:next w:val="Normal"/>
    <w:link w:val="Heading3Char"/>
    <w:uiPriority w:val="9"/>
    <w:unhideWhenUsed/>
    <w:qFormat/>
    <w:rsid w:val="00C75E2E"/>
    <w:pPr>
      <w:keepNext/>
      <w:keepLines/>
      <w:spacing w:before="160" w:after="80"/>
      <w:outlineLvl w:val="2"/>
    </w:pPr>
    <w:rPr>
      <w:rFonts w:eastAsiaTheme="majorEastAsia" w:cstheme="majorBidi"/>
      <w:color w:val="156082" w:themeColor="accent1"/>
      <w:sz w:val="28"/>
      <w:szCs w:val="28"/>
      <w14:textFill>
        <w14:solidFill>
          <w14:schemeClr w14:val="accent1">
            <w14:lumMod w14:val="75000"/>
            <w14:lumMod w14:val="65000"/>
            <w14:lumOff w14:val="35000"/>
          </w14:schemeClr>
        </w14:solidFill>
      </w14:textFill>
    </w:rPr>
  </w:style>
  <w:style w:type="paragraph" w:styleId="Heading4">
    <w:name w:val="heading 4"/>
    <w:basedOn w:val="Normal"/>
    <w:next w:val="Normal"/>
    <w:link w:val="Heading4Char"/>
    <w:uiPriority w:val="9"/>
    <w:unhideWhenUsed/>
    <w:qFormat/>
    <w:rsid w:val="00C75E2E"/>
    <w:pPr>
      <w:keepNext/>
      <w:keepLines/>
      <w:spacing w:before="80" w:after="40"/>
      <w:outlineLvl w:val="3"/>
    </w:pPr>
    <w:rPr>
      <w:rFonts w:eastAsiaTheme="majorEastAsia" w:cstheme="majorBidi"/>
      <w:i/>
      <w:iCs/>
      <w:color w:val="156082" w:themeColor="accent1"/>
      <w14:textFill>
        <w14:solidFill>
          <w14:schemeClr w14:val="accent1">
            <w14:lumMod w14:val="75000"/>
            <w14:lumMod w14:val="65000"/>
            <w14:lumOff w14:val="35000"/>
          </w14:schemeClr>
        </w14:solidFill>
      </w14:textFill>
    </w:rPr>
  </w:style>
  <w:style w:type="paragraph" w:styleId="Heading5">
    <w:name w:val="heading 5"/>
    <w:basedOn w:val="Normal"/>
    <w:next w:val="Normal"/>
    <w:link w:val="Heading5Char"/>
    <w:uiPriority w:val="9"/>
    <w:unhideWhenUsed/>
    <w:qFormat/>
    <w:rsid w:val="00C75E2E"/>
    <w:pPr>
      <w:keepNext/>
      <w:keepLines/>
      <w:spacing w:before="80" w:after="40"/>
      <w:outlineLvl w:val="4"/>
    </w:pPr>
    <w:rPr>
      <w:rFonts w:eastAsiaTheme="majorEastAsia" w:cstheme="majorBidi"/>
      <w:color w:val="156082" w:themeColor="accent1"/>
      <w14:textFill>
        <w14:solidFill>
          <w14:schemeClr w14:val="accent1">
            <w14:lumMod w14:val="75000"/>
            <w14:lumMod w14:val="65000"/>
            <w14:lumOff w14:val="35000"/>
          </w14:schemeClr>
        </w14:solidFill>
      </w14:textFill>
    </w:rPr>
  </w:style>
  <w:style w:type="paragraph" w:styleId="Heading6">
    <w:name w:val="heading 6"/>
    <w:basedOn w:val="Normal"/>
    <w:next w:val="Normal"/>
    <w:link w:val="Heading6Char"/>
    <w:uiPriority w:val="9"/>
    <w:semiHidden/>
    <w:unhideWhenUsed/>
    <w:qFormat/>
    <w:rsid w:val="00C75E2E"/>
    <w:pPr>
      <w:keepNext/>
      <w:keepLines/>
      <w:spacing w:before="40" w:after="0"/>
      <w:outlineLvl w:val="5"/>
    </w:pPr>
    <w:rPr>
      <w:rFonts w:eastAsiaTheme="majorEastAsia" w:cstheme="majorBidi"/>
      <w:i/>
      <w:iCs/>
      <w:color w:val="000000" w:themeColor="text1"/>
      <w14:textFill>
        <w14:solidFill>
          <w14:schemeClr w14:val="tx1">
            <w14:lumMod w14:val="65000"/>
            <w14:lumOff w14:val="35000"/>
            <w14:lumMod w14:val="65000"/>
            <w14:lumOff w14:val="35000"/>
          </w14:schemeClr>
        </w14:solidFill>
      </w14:textFill>
    </w:rPr>
  </w:style>
  <w:style w:type="paragraph" w:styleId="Heading7">
    <w:name w:val="heading 7"/>
    <w:basedOn w:val="Normal"/>
    <w:next w:val="Normal"/>
    <w:link w:val="Heading7Char"/>
    <w:uiPriority w:val="9"/>
    <w:semiHidden/>
    <w:unhideWhenUsed/>
    <w:qFormat/>
    <w:rsid w:val="00C75E2E"/>
    <w:pPr>
      <w:keepNext/>
      <w:keepLines/>
      <w:spacing w:before="40" w:after="0"/>
      <w:outlineLvl w:val="6"/>
    </w:pPr>
    <w:rPr>
      <w:rFonts w:eastAsiaTheme="majorEastAsia" w:cstheme="majorBidi"/>
      <w:color w:val="000000" w:themeColor="text1"/>
      <w14:textFill>
        <w14:solidFill>
          <w14:schemeClr w14:val="tx1">
            <w14:lumMod w14:val="65000"/>
            <w14:lumOff w14:val="35000"/>
            <w14:lumMod w14:val="65000"/>
            <w14:lumOff w14:val="35000"/>
          </w14:schemeClr>
        </w14:solidFill>
      </w14:textFill>
    </w:rPr>
  </w:style>
  <w:style w:type="paragraph" w:styleId="Heading8">
    <w:name w:val="heading 8"/>
    <w:basedOn w:val="Normal"/>
    <w:next w:val="Normal"/>
    <w:link w:val="Heading8Char"/>
    <w:uiPriority w:val="9"/>
    <w:semiHidden/>
    <w:unhideWhenUsed/>
    <w:qFormat/>
    <w:rsid w:val="00C75E2E"/>
    <w:pPr>
      <w:keepNext/>
      <w:keepLines/>
      <w:spacing w:after="0"/>
      <w:outlineLvl w:val="7"/>
    </w:pPr>
    <w:rPr>
      <w:rFonts w:eastAsiaTheme="majorEastAsia" w:cstheme="majorBidi"/>
      <w:i/>
      <w:iCs/>
      <w:color w:val="000000" w:themeColor="text1"/>
      <w14:textFill>
        <w14:solidFill>
          <w14:schemeClr w14:val="tx1">
            <w14:lumMod w14:val="85000"/>
            <w14:lumOff w14:val="15000"/>
            <w14:lumMod w14:val="65000"/>
            <w14:lumOff w14:val="35000"/>
          </w14:schemeClr>
        </w14:solidFill>
      </w14:textFill>
    </w:rPr>
  </w:style>
  <w:style w:type="paragraph" w:styleId="Heading9">
    <w:name w:val="heading 9"/>
    <w:basedOn w:val="Normal"/>
    <w:next w:val="Normal"/>
    <w:link w:val="Heading9Char"/>
    <w:uiPriority w:val="9"/>
    <w:semiHidden/>
    <w:unhideWhenUsed/>
    <w:qFormat/>
    <w:rsid w:val="00C75E2E"/>
    <w:pPr>
      <w:keepNext/>
      <w:keepLines/>
      <w:spacing w:after="0"/>
      <w:outlineLvl w:val="8"/>
    </w:pPr>
    <w:rPr>
      <w:rFonts w:eastAsiaTheme="majorEastAsia" w:cstheme="majorBidi"/>
      <w:color w:val="000000" w:themeColor="text1"/>
      <w14:textFill>
        <w14:solidFill>
          <w14:schemeClr w14:val="tx1">
            <w14:lumMod w14:val="85000"/>
            <w14:lumOff w14:val="15000"/>
            <w14:lumMod w14:val="65000"/>
            <w14:lumOff w14:val="3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DB8"/>
    <w:rPr>
      <w:rFonts w:ascii="Helvetica" w:hAnsi="Helvetica"/>
      <w:b/>
      <w:bCs/>
      <w:color w:val="0F357F"/>
      <w:sz w:val="36"/>
      <w:szCs w:val="36"/>
    </w:rPr>
  </w:style>
  <w:style w:type="character" w:customStyle="1" w:styleId="Heading2Char">
    <w:name w:val="Heading 2 Char"/>
    <w:basedOn w:val="DefaultParagraphFont"/>
    <w:link w:val="Heading2"/>
    <w:uiPriority w:val="9"/>
    <w:rsid w:val="00097DB8"/>
    <w:rPr>
      <w:rFonts w:ascii="Helvetica" w:hAnsi="Helvetica"/>
      <w:b/>
      <w:bCs/>
      <w:color w:val="297FD6"/>
      <w:sz w:val="28"/>
      <w:szCs w:val="28"/>
    </w:rPr>
  </w:style>
  <w:style w:type="character" w:customStyle="1" w:styleId="Heading3Char">
    <w:name w:val="Heading 3 Char"/>
    <w:basedOn w:val="DefaultParagraphFont"/>
    <w:link w:val="Heading3"/>
    <w:uiPriority w:val="9"/>
    <w:rsid w:val="00C75E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75E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C75E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5E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5E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5E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5E2E"/>
    <w:rPr>
      <w:rFonts w:eastAsiaTheme="majorEastAsia" w:cstheme="majorBidi"/>
      <w:color w:val="272727" w:themeColor="text1" w:themeTint="D8"/>
    </w:rPr>
  </w:style>
  <w:style w:type="paragraph" w:styleId="Title">
    <w:name w:val="Title"/>
    <w:basedOn w:val="Normal"/>
    <w:next w:val="Normal"/>
    <w:link w:val="TitleChar"/>
    <w:uiPriority w:val="10"/>
    <w:qFormat/>
    <w:rsid w:val="00097DB8"/>
    <w:pPr>
      <w:jc w:val="center"/>
    </w:pPr>
    <w:rPr>
      <w:rFonts w:ascii="Baskerville Old Face" w:hAnsi="Baskerville Old Face" w:cs="Times New Roman (Body CS)"/>
      <w:b/>
      <w:smallCaps/>
      <w:color w:val="0F357F"/>
      <w:sz w:val="48"/>
      <w:szCs w:val="48"/>
    </w:rPr>
  </w:style>
  <w:style w:type="character" w:customStyle="1" w:styleId="TitleChar">
    <w:name w:val="Title Char"/>
    <w:basedOn w:val="DefaultParagraphFont"/>
    <w:link w:val="Title"/>
    <w:uiPriority w:val="10"/>
    <w:rsid w:val="00097DB8"/>
    <w:rPr>
      <w:rFonts w:ascii="Baskerville Old Face" w:hAnsi="Baskerville Old Face" w:cs="Times New Roman (Body CS)"/>
      <w:b/>
      <w:smallCaps/>
      <w:color w:val="0F357F"/>
      <w:sz w:val="48"/>
      <w:szCs w:val="48"/>
    </w:rPr>
  </w:style>
  <w:style w:type="paragraph" w:styleId="Subtitle">
    <w:name w:val="Subtitle"/>
    <w:basedOn w:val="Normal"/>
    <w:next w:val="Normal"/>
    <w:link w:val="SubtitleChar"/>
    <w:uiPriority w:val="11"/>
    <w:qFormat/>
    <w:rsid w:val="00C75E2E"/>
    <w:pPr>
      <w:numPr>
        <w:ilvl w:val="1"/>
      </w:numPr>
    </w:pPr>
    <w:rPr>
      <w:rFonts w:eastAsiaTheme="majorEastAsia" w:cstheme="majorBidi"/>
      <w:color w:val="000000" w:themeColor="text1"/>
      <w:spacing w:val="15"/>
      <w:sz w:val="28"/>
      <w:szCs w:val="28"/>
      <w14:textFill>
        <w14:solidFill>
          <w14:schemeClr w14:val="tx1">
            <w14:lumMod w14:val="65000"/>
            <w14:lumOff w14:val="35000"/>
            <w14:lumMod w14:val="65000"/>
            <w14:lumOff w14:val="35000"/>
          </w14:schemeClr>
        </w14:solidFill>
      </w14:textFill>
    </w:rPr>
  </w:style>
  <w:style w:type="character" w:customStyle="1" w:styleId="SubtitleChar">
    <w:name w:val="Subtitle Char"/>
    <w:basedOn w:val="DefaultParagraphFont"/>
    <w:link w:val="Subtitle"/>
    <w:uiPriority w:val="11"/>
    <w:rsid w:val="00C75E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5E2E"/>
    <w:pPr>
      <w:spacing w:before="160"/>
      <w:jc w:val="center"/>
    </w:pPr>
    <w:rPr>
      <w:i/>
      <w:iCs/>
      <w:color w:val="000000" w:themeColor="text1"/>
      <w14:textFill>
        <w14:solidFill>
          <w14:schemeClr w14:val="tx1">
            <w14:lumMod w14:val="75000"/>
            <w14:lumOff w14:val="25000"/>
            <w14:lumMod w14:val="65000"/>
            <w14:lumOff w14:val="35000"/>
          </w14:schemeClr>
        </w14:solidFill>
      </w14:textFill>
    </w:rPr>
  </w:style>
  <w:style w:type="character" w:customStyle="1" w:styleId="QuoteChar">
    <w:name w:val="Quote Char"/>
    <w:basedOn w:val="DefaultParagraphFont"/>
    <w:link w:val="Quote"/>
    <w:uiPriority w:val="29"/>
    <w:rsid w:val="00C75E2E"/>
    <w:rPr>
      <w:i/>
      <w:iCs/>
      <w:color w:val="404040" w:themeColor="text1" w:themeTint="BF"/>
    </w:rPr>
  </w:style>
  <w:style w:type="paragraph" w:styleId="ListParagraph">
    <w:name w:val="List Paragraph"/>
    <w:basedOn w:val="Normal"/>
    <w:uiPriority w:val="34"/>
    <w:qFormat/>
    <w:rsid w:val="00C75E2E"/>
    <w:pPr>
      <w:ind w:left="720"/>
      <w:contextualSpacing/>
    </w:pPr>
  </w:style>
  <w:style w:type="character" w:styleId="IntenseEmphasis">
    <w:name w:val="Intense Emphasis"/>
    <w:basedOn w:val="DefaultParagraphFont"/>
    <w:uiPriority w:val="21"/>
    <w:qFormat/>
    <w:rsid w:val="00C75E2E"/>
    <w:rPr>
      <w:i/>
      <w:iCs/>
      <w:color w:val="0F4761" w:themeColor="accent1" w:themeShade="BF"/>
    </w:rPr>
  </w:style>
  <w:style w:type="paragraph" w:styleId="IntenseQuote">
    <w:name w:val="Intense Quote"/>
    <w:basedOn w:val="Normal"/>
    <w:next w:val="Normal"/>
    <w:link w:val="IntenseQuoteChar"/>
    <w:uiPriority w:val="30"/>
    <w:qFormat/>
    <w:rsid w:val="00C75E2E"/>
    <w:pPr>
      <w:pBdr>
        <w:top w:val="single" w:sz="4" w:space="10" w:color="0F4761" w:themeColor="accent1" w:themeShade="BF"/>
        <w:bottom w:val="single" w:sz="4" w:space="10" w:color="0F4761" w:themeColor="accent1" w:themeShade="BF"/>
      </w:pBdr>
      <w:spacing w:before="360" w:after="360"/>
      <w:ind w:left="864" w:right="864"/>
      <w:jc w:val="center"/>
    </w:pPr>
    <w:rPr>
      <w:i/>
      <w:iCs/>
      <w:color w:val="156082" w:themeColor="accent1"/>
      <w14:textFill>
        <w14:solidFill>
          <w14:schemeClr w14:val="accent1">
            <w14:lumMod w14:val="75000"/>
            <w14:lumMod w14:val="65000"/>
            <w14:lumOff w14:val="35000"/>
          </w14:schemeClr>
        </w14:solidFill>
      </w14:textFill>
    </w:rPr>
  </w:style>
  <w:style w:type="character" w:customStyle="1" w:styleId="IntenseQuoteChar">
    <w:name w:val="Intense Quote Char"/>
    <w:basedOn w:val="DefaultParagraphFont"/>
    <w:link w:val="IntenseQuote"/>
    <w:uiPriority w:val="30"/>
    <w:rsid w:val="00C75E2E"/>
    <w:rPr>
      <w:i/>
      <w:iCs/>
      <w:color w:val="0F4761" w:themeColor="accent1" w:themeShade="BF"/>
    </w:rPr>
  </w:style>
  <w:style w:type="character" w:styleId="IntenseReference">
    <w:name w:val="Intense Reference"/>
    <w:basedOn w:val="DefaultParagraphFont"/>
    <w:uiPriority w:val="32"/>
    <w:qFormat/>
    <w:rsid w:val="00C75E2E"/>
    <w:rPr>
      <w:b/>
      <w:bCs/>
      <w:smallCaps/>
      <w:color w:val="0F4761" w:themeColor="accent1" w:themeShade="BF"/>
      <w:spacing w:val="5"/>
    </w:rPr>
  </w:style>
  <w:style w:type="paragraph" w:styleId="Header">
    <w:name w:val="header"/>
    <w:basedOn w:val="Normal"/>
    <w:link w:val="HeaderChar"/>
    <w:unhideWhenUsed/>
    <w:rsid w:val="00C75E2E"/>
    <w:pPr>
      <w:tabs>
        <w:tab w:val="center" w:pos="4680"/>
        <w:tab w:val="right" w:pos="9360"/>
      </w:tabs>
      <w:spacing w:after="0" w:line="240" w:lineRule="auto"/>
      <w:jc w:val="center"/>
    </w:pPr>
  </w:style>
  <w:style w:type="character" w:customStyle="1" w:styleId="HeaderChar">
    <w:name w:val="Header Char"/>
    <w:basedOn w:val="DefaultParagraphFont"/>
    <w:link w:val="Header"/>
    <w:rsid w:val="00C75E2E"/>
    <w:rPr>
      <w:rFonts w:ascii="Helvetica Neue" w:hAnsi="Helvetica Neue"/>
      <w:color w:val="595959" w:themeColor="text1" w:themeTint="A6"/>
      <w:sz w:val="22"/>
      <w:szCs w:val="22"/>
    </w:rPr>
  </w:style>
  <w:style w:type="paragraph" w:styleId="Footer">
    <w:name w:val="footer"/>
    <w:basedOn w:val="Normal"/>
    <w:link w:val="FooterChar"/>
    <w:uiPriority w:val="99"/>
    <w:unhideWhenUsed/>
    <w:rsid w:val="00C75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E2E"/>
  </w:style>
  <w:style w:type="character" w:styleId="PageNumber">
    <w:name w:val="page number"/>
    <w:basedOn w:val="DefaultParagraphFont"/>
    <w:uiPriority w:val="99"/>
    <w:semiHidden/>
    <w:unhideWhenUsed/>
    <w:rsid w:val="00C75E2E"/>
  </w:style>
  <w:style w:type="paragraph" w:styleId="NoSpacing">
    <w:name w:val="No Spacing"/>
    <w:link w:val="NoSpacingChar"/>
    <w:uiPriority w:val="1"/>
    <w:qFormat/>
    <w:rsid w:val="00405DEF"/>
    <w:pPr>
      <w:spacing w:after="0" w:line="240" w:lineRule="auto"/>
    </w:pPr>
    <w:rPr>
      <w:kern w:val="0"/>
      <w:sz w:val="22"/>
      <w:szCs w:val="22"/>
      <w14:ligatures w14:val="none"/>
    </w:rPr>
  </w:style>
  <w:style w:type="character" w:customStyle="1" w:styleId="NoSpacingChar">
    <w:name w:val="No Spacing Char"/>
    <w:basedOn w:val="DefaultParagraphFont"/>
    <w:link w:val="NoSpacing"/>
    <w:uiPriority w:val="1"/>
    <w:rsid w:val="00405DEF"/>
    <w:rPr>
      <w:kern w:val="0"/>
      <w:sz w:val="22"/>
      <w:szCs w:val="22"/>
      <w14:ligatures w14:val="none"/>
    </w:rPr>
  </w:style>
  <w:style w:type="character" w:styleId="Hyperlink">
    <w:name w:val="Hyperlink"/>
    <w:basedOn w:val="DefaultParagraphFont"/>
    <w:uiPriority w:val="99"/>
    <w:unhideWhenUsed/>
    <w:rsid w:val="00402F0A"/>
    <w:rPr>
      <w:color w:val="0000FF"/>
      <w:u w:val="single"/>
    </w:rPr>
  </w:style>
  <w:style w:type="paragraph" w:styleId="TOC1">
    <w:name w:val="toc 1"/>
    <w:basedOn w:val="Normal"/>
    <w:next w:val="Normal"/>
    <w:autoRedefine/>
    <w:uiPriority w:val="39"/>
    <w:unhideWhenUsed/>
    <w:rsid w:val="00E82CFC"/>
    <w:pPr>
      <w:tabs>
        <w:tab w:val="right" w:leader="dot" w:pos="10070"/>
      </w:tabs>
      <w:spacing w:before="240" w:after="0" w:line="240" w:lineRule="auto"/>
    </w:pPr>
    <w:rPr>
      <w:rFonts w:ascii="Helvetica" w:eastAsia="Cambria" w:hAnsi="Helvetica" w:cstheme="minorHAnsi"/>
      <w:b/>
      <w:bCs/>
      <w:i/>
      <w:iCs/>
      <w:smallCaps/>
      <w:noProof/>
      <w:color w:val="auto"/>
      <w:kern w:val="0"/>
      <w:sz w:val="18"/>
      <w:szCs w:val="18"/>
      <w:lang w:eastAsia="en-US"/>
      <w14:ligatures w14:val="none"/>
    </w:rPr>
  </w:style>
  <w:style w:type="paragraph" w:styleId="TOC2">
    <w:name w:val="toc 2"/>
    <w:basedOn w:val="Normal"/>
    <w:next w:val="Normal"/>
    <w:autoRedefine/>
    <w:uiPriority w:val="39"/>
    <w:unhideWhenUsed/>
    <w:rsid w:val="00402F0A"/>
    <w:pPr>
      <w:tabs>
        <w:tab w:val="right" w:leader="dot" w:pos="10070"/>
      </w:tabs>
      <w:spacing w:before="40" w:after="0" w:line="240" w:lineRule="auto"/>
      <w:ind w:left="245"/>
    </w:pPr>
    <w:rPr>
      <w:rFonts w:ascii="Times New Roman" w:eastAsia="Times New Roman" w:hAnsi="Times New Roman" w:cstheme="minorHAnsi"/>
      <w:b/>
      <w:bCs/>
      <w:color w:val="auto"/>
      <w:kern w:val="0"/>
      <w:sz w:val="20"/>
      <w:lang w:eastAsia="en-US"/>
      <w14:ligatures w14:val="none"/>
    </w:rPr>
  </w:style>
  <w:style w:type="paragraph" w:styleId="TOC3">
    <w:name w:val="toc 3"/>
    <w:basedOn w:val="Normal"/>
    <w:next w:val="Normal"/>
    <w:autoRedefine/>
    <w:uiPriority w:val="39"/>
    <w:unhideWhenUsed/>
    <w:rsid w:val="00402F0A"/>
    <w:pPr>
      <w:spacing w:after="0" w:line="240" w:lineRule="auto"/>
      <w:ind w:left="475"/>
      <w:contextualSpacing/>
    </w:pPr>
    <w:rPr>
      <w:rFonts w:ascii="Times New Roman" w:eastAsia="Times New Roman" w:hAnsi="Times New Roman" w:cstheme="minorHAnsi"/>
      <w:color w:val="auto"/>
      <w:kern w:val="0"/>
      <w:sz w:val="18"/>
      <w:szCs w:val="20"/>
      <w:lang w:eastAsia="en-US"/>
      <w14:ligatures w14:val="none"/>
    </w:rPr>
  </w:style>
  <w:style w:type="paragraph" w:styleId="TOCHeading">
    <w:name w:val="TOC Heading"/>
    <w:basedOn w:val="Heading1"/>
    <w:next w:val="Normal"/>
    <w:uiPriority w:val="39"/>
    <w:unhideWhenUsed/>
    <w:qFormat/>
    <w:rsid w:val="00402F0A"/>
    <w:pPr>
      <w:keepNext/>
      <w:keepLines/>
      <w:spacing w:after="0" w:line="278" w:lineRule="auto"/>
      <w:contextualSpacing w:val="0"/>
      <w:outlineLvl w:val="9"/>
    </w:pPr>
    <w:rPr>
      <w:rFonts w:asciiTheme="majorHAnsi" w:eastAsiaTheme="majorEastAsia" w:hAnsiTheme="majorHAnsi" w:cstheme="majorBidi"/>
      <w:b w:val="0"/>
      <w:bCs w:val="0"/>
      <w:color w:val="0F4761" w:themeColor="accent1" w:themeShade="BF"/>
      <w:sz w:val="32"/>
      <w:szCs w:val="32"/>
    </w:rPr>
  </w:style>
  <w:style w:type="paragraph" w:styleId="NormalWeb">
    <w:name w:val="Normal (Web)"/>
    <w:basedOn w:val="Normal"/>
    <w:uiPriority w:val="99"/>
    <w:unhideWhenUsed/>
    <w:rsid w:val="00402F0A"/>
    <w:pPr>
      <w:spacing w:before="100" w:beforeAutospacing="1" w:after="100" w:afterAutospacing="1" w:line="240" w:lineRule="auto"/>
    </w:pPr>
    <w:rPr>
      <w:rFonts w:ascii="Times New Roman" w:eastAsia="Times New Roman" w:hAnsi="Times New Roman" w:cs="Times New Roman"/>
      <w:color w:val="auto"/>
      <w:kern w:val="0"/>
      <w:sz w:val="24"/>
      <w:szCs w:val="24"/>
      <w:lang w:eastAsia="en-US"/>
      <w14:ligatures w14:val="none"/>
    </w:rPr>
  </w:style>
  <w:style w:type="character" w:customStyle="1" w:styleId="apple-tab-span">
    <w:name w:val="apple-tab-span"/>
    <w:basedOn w:val="DefaultParagraphFont"/>
    <w:rsid w:val="00402F0A"/>
  </w:style>
  <w:style w:type="character" w:styleId="UnresolvedMention">
    <w:name w:val="Unresolved Mention"/>
    <w:basedOn w:val="DefaultParagraphFont"/>
    <w:uiPriority w:val="99"/>
    <w:semiHidden/>
    <w:unhideWhenUsed/>
    <w:rsid w:val="00402F0A"/>
    <w:rPr>
      <w:color w:val="605E5C"/>
      <w:shd w:val="clear" w:color="auto" w:fill="E1DFDD"/>
    </w:rPr>
  </w:style>
  <w:style w:type="character" w:styleId="FollowedHyperlink">
    <w:name w:val="FollowedHyperlink"/>
    <w:basedOn w:val="DefaultParagraphFont"/>
    <w:uiPriority w:val="99"/>
    <w:semiHidden/>
    <w:unhideWhenUsed/>
    <w:rsid w:val="00402F0A"/>
    <w:rPr>
      <w:color w:val="96607D" w:themeColor="followedHyperlink"/>
      <w:u w:val="single"/>
    </w:rPr>
  </w:style>
  <w:style w:type="character" w:customStyle="1" w:styleId="field">
    <w:name w:val="field"/>
    <w:basedOn w:val="DefaultParagraphFont"/>
    <w:rsid w:val="00402F0A"/>
  </w:style>
  <w:style w:type="character" w:customStyle="1" w:styleId="embedded-entity">
    <w:name w:val="embedded-entity"/>
    <w:basedOn w:val="DefaultParagraphFont"/>
    <w:rsid w:val="00402F0A"/>
  </w:style>
  <w:style w:type="character" w:styleId="Strong">
    <w:name w:val="Strong"/>
    <w:uiPriority w:val="22"/>
    <w:qFormat/>
    <w:rsid w:val="00402F0A"/>
  </w:style>
  <w:style w:type="character" w:customStyle="1" w:styleId="c-timestamplabel">
    <w:name w:val="c-timestamp__label"/>
    <w:basedOn w:val="DefaultParagraphFont"/>
    <w:rsid w:val="00402F0A"/>
  </w:style>
  <w:style w:type="table" w:styleId="TableGrid">
    <w:name w:val="Table Grid"/>
    <w:basedOn w:val="TableNormal"/>
    <w:uiPriority w:val="39"/>
    <w:rsid w:val="00402F0A"/>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02F0A"/>
    <w:pPr>
      <w:spacing w:after="0" w:line="240" w:lineRule="auto"/>
    </w:pPr>
    <w:rPr>
      <w:rFonts w:ascii="Times New Roman" w:eastAsia="Times New Roman" w:hAnsi="Times New Roman" w:cs="Times New Roman"/>
      <w:kern w:val="0"/>
      <w:lang w:eastAsia="en-US"/>
      <w14:ligatures w14:val="none"/>
    </w:rPr>
  </w:style>
  <w:style w:type="table" w:styleId="GridTable4-Accent1">
    <w:name w:val="Grid Table 4 Accent 1"/>
    <w:basedOn w:val="TableNormal"/>
    <w:uiPriority w:val="49"/>
    <w:rsid w:val="00402F0A"/>
    <w:pPr>
      <w:spacing w:after="0" w:line="240" w:lineRule="auto"/>
    </w:pPr>
    <w:rPr>
      <w:rFonts w:eastAsiaTheme="minorHAnsi"/>
      <w:kern w:val="0"/>
      <w:lang w:eastAsia="en-US"/>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customStyle="1" w:styleId="apple-converted-space">
    <w:name w:val="apple-converted-space"/>
    <w:basedOn w:val="DefaultParagraphFont"/>
    <w:rsid w:val="00402F0A"/>
  </w:style>
  <w:style w:type="character" w:styleId="CommentReference">
    <w:name w:val="annotation reference"/>
    <w:basedOn w:val="DefaultParagraphFont"/>
    <w:uiPriority w:val="99"/>
    <w:semiHidden/>
    <w:unhideWhenUsed/>
    <w:rsid w:val="00402F0A"/>
    <w:rPr>
      <w:sz w:val="16"/>
      <w:szCs w:val="16"/>
    </w:rPr>
  </w:style>
  <w:style w:type="paragraph" w:styleId="CommentText">
    <w:name w:val="annotation text"/>
    <w:basedOn w:val="Normal"/>
    <w:link w:val="CommentTextChar"/>
    <w:uiPriority w:val="99"/>
    <w:unhideWhenUsed/>
    <w:rsid w:val="00402F0A"/>
    <w:pPr>
      <w:spacing w:after="0" w:line="240" w:lineRule="auto"/>
    </w:pPr>
    <w:rPr>
      <w:rFonts w:ascii="Times New Roman" w:eastAsia="Times New Roman" w:hAnsi="Times New Roman" w:cs="Times New Roman"/>
      <w:color w:val="auto"/>
      <w:kern w:val="0"/>
      <w:sz w:val="20"/>
      <w:szCs w:val="20"/>
      <w:lang w:eastAsia="en-US"/>
      <w14:ligatures w14:val="none"/>
    </w:rPr>
  </w:style>
  <w:style w:type="character" w:customStyle="1" w:styleId="CommentTextChar">
    <w:name w:val="Comment Text Char"/>
    <w:basedOn w:val="DefaultParagraphFont"/>
    <w:link w:val="CommentText"/>
    <w:uiPriority w:val="99"/>
    <w:rsid w:val="00402F0A"/>
    <w:rPr>
      <w:rFonts w:ascii="Times New Roman" w:eastAsia="Times New Roman" w:hAnsi="Times New Roman" w:cs="Times New Roman"/>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402F0A"/>
    <w:rPr>
      <w:b/>
      <w:bCs/>
    </w:rPr>
  </w:style>
  <w:style w:type="character" w:customStyle="1" w:styleId="CommentSubjectChar">
    <w:name w:val="Comment Subject Char"/>
    <w:basedOn w:val="CommentTextChar"/>
    <w:link w:val="CommentSubject"/>
    <w:uiPriority w:val="99"/>
    <w:semiHidden/>
    <w:rsid w:val="00402F0A"/>
    <w:rPr>
      <w:rFonts w:ascii="Times New Roman" w:eastAsia="Times New Roman" w:hAnsi="Times New Roman" w:cs="Times New Roman"/>
      <w:b/>
      <w:bCs/>
      <w:kern w:val="0"/>
      <w:sz w:val="20"/>
      <w:szCs w:val="20"/>
      <w:lang w:eastAsia="en-US"/>
      <w14:ligatures w14:val="none"/>
    </w:rPr>
  </w:style>
  <w:style w:type="table" w:styleId="GridTable4-Accent5">
    <w:name w:val="Grid Table 4 Accent 5"/>
    <w:basedOn w:val="TableNormal"/>
    <w:uiPriority w:val="49"/>
    <w:rsid w:val="00402F0A"/>
    <w:pPr>
      <w:spacing w:after="0" w:line="240" w:lineRule="auto"/>
    </w:pPr>
    <w:rPr>
      <w:rFonts w:eastAsiaTheme="minorHAnsi"/>
      <w:kern w:val="0"/>
      <w:lang w:eastAsia="en-US"/>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character" w:customStyle="1" w:styleId="searchhighlight">
    <w:name w:val="searchhighlight"/>
    <w:basedOn w:val="DefaultParagraphFont"/>
    <w:rsid w:val="00402F0A"/>
  </w:style>
  <w:style w:type="paragraph" w:styleId="FootnoteText">
    <w:name w:val="footnote text"/>
    <w:basedOn w:val="Normal"/>
    <w:link w:val="FootnoteTextChar"/>
    <w:uiPriority w:val="99"/>
    <w:semiHidden/>
    <w:unhideWhenUsed/>
    <w:rsid w:val="00402F0A"/>
    <w:pPr>
      <w:spacing w:after="0" w:line="240" w:lineRule="auto"/>
    </w:pPr>
    <w:rPr>
      <w:rFonts w:ascii="Times New Roman" w:eastAsia="Times New Roman" w:hAnsi="Times New Roman" w:cs="Times New Roman"/>
      <w:color w:val="auto"/>
      <w:kern w:val="0"/>
      <w:sz w:val="20"/>
      <w:szCs w:val="20"/>
      <w:lang w:eastAsia="en-US"/>
      <w14:ligatures w14:val="none"/>
    </w:rPr>
  </w:style>
  <w:style w:type="character" w:customStyle="1" w:styleId="FootnoteTextChar">
    <w:name w:val="Footnote Text Char"/>
    <w:basedOn w:val="DefaultParagraphFont"/>
    <w:link w:val="FootnoteText"/>
    <w:uiPriority w:val="99"/>
    <w:semiHidden/>
    <w:rsid w:val="00402F0A"/>
    <w:rPr>
      <w:rFonts w:ascii="Times New Roman" w:eastAsia="Times New Roman" w:hAnsi="Times New Roman" w:cs="Times New Roman"/>
      <w:kern w:val="0"/>
      <w:sz w:val="20"/>
      <w:szCs w:val="20"/>
      <w:lang w:eastAsia="en-US"/>
      <w14:ligatures w14:val="none"/>
    </w:rPr>
  </w:style>
  <w:style w:type="character" w:styleId="FootnoteReference">
    <w:name w:val="footnote reference"/>
    <w:basedOn w:val="DefaultParagraphFont"/>
    <w:uiPriority w:val="99"/>
    <w:semiHidden/>
    <w:unhideWhenUsed/>
    <w:rsid w:val="00402F0A"/>
    <w:rPr>
      <w:vertAlign w:val="superscript"/>
    </w:rPr>
  </w:style>
  <w:style w:type="paragraph" w:styleId="EndnoteText">
    <w:name w:val="endnote text"/>
    <w:basedOn w:val="Normal"/>
    <w:link w:val="EndnoteTextChar"/>
    <w:uiPriority w:val="99"/>
    <w:semiHidden/>
    <w:unhideWhenUsed/>
    <w:rsid w:val="00402F0A"/>
    <w:pPr>
      <w:spacing w:after="0" w:line="240" w:lineRule="auto"/>
    </w:pPr>
    <w:rPr>
      <w:rFonts w:ascii="Times New Roman" w:eastAsia="Times New Roman" w:hAnsi="Times New Roman" w:cs="Times New Roman"/>
      <w:color w:val="auto"/>
      <w:kern w:val="0"/>
      <w:sz w:val="20"/>
      <w:szCs w:val="20"/>
      <w:lang w:eastAsia="en-US"/>
      <w14:ligatures w14:val="none"/>
    </w:rPr>
  </w:style>
  <w:style w:type="character" w:customStyle="1" w:styleId="EndnoteTextChar">
    <w:name w:val="Endnote Text Char"/>
    <w:basedOn w:val="DefaultParagraphFont"/>
    <w:link w:val="EndnoteText"/>
    <w:uiPriority w:val="99"/>
    <w:semiHidden/>
    <w:rsid w:val="00402F0A"/>
    <w:rPr>
      <w:rFonts w:ascii="Times New Roman" w:eastAsia="Times New Roman" w:hAnsi="Times New Roman" w:cs="Times New Roman"/>
      <w:kern w:val="0"/>
      <w:sz w:val="20"/>
      <w:szCs w:val="20"/>
      <w:lang w:eastAsia="en-US"/>
      <w14:ligatures w14:val="none"/>
    </w:rPr>
  </w:style>
  <w:style w:type="character" w:styleId="EndnoteReference">
    <w:name w:val="endnote reference"/>
    <w:basedOn w:val="DefaultParagraphFont"/>
    <w:uiPriority w:val="99"/>
    <w:semiHidden/>
    <w:unhideWhenUsed/>
    <w:rsid w:val="00402F0A"/>
    <w:rPr>
      <w:vertAlign w:val="superscript"/>
    </w:rPr>
  </w:style>
  <w:style w:type="paragraph" w:styleId="TOC4">
    <w:name w:val="toc 4"/>
    <w:basedOn w:val="Normal"/>
    <w:next w:val="Normal"/>
    <w:autoRedefine/>
    <w:uiPriority w:val="39"/>
    <w:semiHidden/>
    <w:unhideWhenUsed/>
    <w:rsid w:val="00402F0A"/>
    <w:pPr>
      <w:spacing w:after="0" w:line="240" w:lineRule="auto"/>
      <w:ind w:left="720"/>
    </w:pPr>
    <w:rPr>
      <w:rFonts w:asciiTheme="minorHAnsi" w:eastAsia="Times New Roman" w:hAnsiTheme="minorHAnsi" w:cstheme="minorHAnsi"/>
      <w:color w:val="auto"/>
      <w:kern w:val="0"/>
      <w:sz w:val="20"/>
      <w:szCs w:val="20"/>
      <w:lang w:eastAsia="en-US"/>
      <w14:ligatures w14:val="none"/>
    </w:rPr>
  </w:style>
  <w:style w:type="paragraph" w:styleId="TOC5">
    <w:name w:val="toc 5"/>
    <w:basedOn w:val="Normal"/>
    <w:next w:val="Normal"/>
    <w:autoRedefine/>
    <w:uiPriority w:val="39"/>
    <w:semiHidden/>
    <w:unhideWhenUsed/>
    <w:rsid w:val="00402F0A"/>
    <w:pPr>
      <w:spacing w:after="0" w:line="240" w:lineRule="auto"/>
      <w:ind w:left="960"/>
    </w:pPr>
    <w:rPr>
      <w:rFonts w:asciiTheme="minorHAnsi" w:eastAsia="Times New Roman" w:hAnsiTheme="minorHAnsi" w:cstheme="minorHAnsi"/>
      <w:color w:val="auto"/>
      <w:kern w:val="0"/>
      <w:sz w:val="20"/>
      <w:szCs w:val="20"/>
      <w:lang w:eastAsia="en-US"/>
      <w14:ligatures w14:val="none"/>
    </w:rPr>
  </w:style>
  <w:style w:type="paragraph" w:styleId="TOC6">
    <w:name w:val="toc 6"/>
    <w:basedOn w:val="Normal"/>
    <w:next w:val="Normal"/>
    <w:autoRedefine/>
    <w:uiPriority w:val="39"/>
    <w:semiHidden/>
    <w:unhideWhenUsed/>
    <w:rsid w:val="00402F0A"/>
    <w:pPr>
      <w:spacing w:after="0" w:line="240" w:lineRule="auto"/>
      <w:ind w:left="1200"/>
    </w:pPr>
    <w:rPr>
      <w:rFonts w:asciiTheme="minorHAnsi" w:eastAsia="Times New Roman" w:hAnsiTheme="minorHAnsi" w:cstheme="minorHAnsi"/>
      <w:color w:val="auto"/>
      <w:kern w:val="0"/>
      <w:sz w:val="20"/>
      <w:szCs w:val="20"/>
      <w:lang w:eastAsia="en-US"/>
      <w14:ligatures w14:val="none"/>
    </w:rPr>
  </w:style>
  <w:style w:type="paragraph" w:styleId="TOC7">
    <w:name w:val="toc 7"/>
    <w:basedOn w:val="Normal"/>
    <w:next w:val="Normal"/>
    <w:autoRedefine/>
    <w:uiPriority w:val="39"/>
    <w:semiHidden/>
    <w:unhideWhenUsed/>
    <w:rsid w:val="00402F0A"/>
    <w:pPr>
      <w:spacing w:after="0" w:line="240" w:lineRule="auto"/>
      <w:ind w:left="1440"/>
    </w:pPr>
    <w:rPr>
      <w:rFonts w:asciiTheme="minorHAnsi" w:eastAsia="Times New Roman" w:hAnsiTheme="minorHAnsi" w:cstheme="minorHAnsi"/>
      <w:color w:val="auto"/>
      <w:kern w:val="0"/>
      <w:sz w:val="20"/>
      <w:szCs w:val="20"/>
      <w:lang w:eastAsia="en-US"/>
      <w14:ligatures w14:val="none"/>
    </w:rPr>
  </w:style>
  <w:style w:type="paragraph" w:styleId="TOC8">
    <w:name w:val="toc 8"/>
    <w:basedOn w:val="Normal"/>
    <w:next w:val="Normal"/>
    <w:autoRedefine/>
    <w:uiPriority w:val="39"/>
    <w:semiHidden/>
    <w:unhideWhenUsed/>
    <w:rsid w:val="00402F0A"/>
    <w:pPr>
      <w:spacing w:after="0" w:line="240" w:lineRule="auto"/>
      <w:ind w:left="1680"/>
    </w:pPr>
    <w:rPr>
      <w:rFonts w:asciiTheme="minorHAnsi" w:eastAsia="Times New Roman" w:hAnsiTheme="minorHAnsi" w:cstheme="minorHAnsi"/>
      <w:color w:val="auto"/>
      <w:kern w:val="0"/>
      <w:sz w:val="20"/>
      <w:szCs w:val="20"/>
      <w:lang w:eastAsia="en-US"/>
      <w14:ligatures w14:val="none"/>
    </w:rPr>
  </w:style>
  <w:style w:type="paragraph" w:styleId="TOC9">
    <w:name w:val="toc 9"/>
    <w:basedOn w:val="Normal"/>
    <w:next w:val="Normal"/>
    <w:autoRedefine/>
    <w:uiPriority w:val="39"/>
    <w:semiHidden/>
    <w:unhideWhenUsed/>
    <w:rsid w:val="00402F0A"/>
    <w:pPr>
      <w:spacing w:after="0" w:line="240" w:lineRule="auto"/>
      <w:ind w:left="1920"/>
    </w:pPr>
    <w:rPr>
      <w:rFonts w:asciiTheme="minorHAnsi" w:eastAsia="Times New Roman" w:hAnsiTheme="minorHAnsi" w:cstheme="minorHAnsi"/>
      <w:color w:val="auto"/>
      <w:kern w:val="0"/>
      <w:sz w:val="2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mh.ny.gov/omhweb/bho/harp.html" TargetMode="External"/><Relationship Id="rId18" Type="http://schemas.openxmlformats.org/officeDocument/2006/relationships/hyperlink" Target="https://omh.ny.gov/omhweb/policy_and_regulations/proposed/part-511-2-text.pdf" TargetMode="External"/><Relationship Id="rId26" Type="http://schemas.openxmlformats.org/officeDocument/2006/relationships/hyperlink" Target="https://health.ny.gov/health_care/medicaid/redesign/vbp/roadmaps/docs/final_updated_roadmap.pdf" TargetMode="External"/><Relationship Id="rId3" Type="http://schemas.openxmlformats.org/officeDocument/2006/relationships/styles" Target="styles.xml"/><Relationship Id="rId21" Type="http://schemas.openxmlformats.org/officeDocument/2006/relationships/hyperlink" Target="https://opwdd.ny.gov/providers/cco-policy-manual" TargetMode="External"/><Relationship Id="rId7" Type="http://schemas.openxmlformats.org/officeDocument/2006/relationships/endnotes" Target="endnotes.xml"/><Relationship Id="rId12" Type="http://schemas.openxmlformats.org/officeDocument/2006/relationships/hyperlink" Target="https://www.health.ny.gov/health_care/medicaid/redesign/aco/" TargetMode="External"/><Relationship Id="rId17" Type="http://schemas.openxmlformats.org/officeDocument/2006/relationships/hyperlink" Target="https://www.health.ny.gov/health_care/medicaid/redesign/behavioral_health/children/proposed_spa.htm" TargetMode="External"/><Relationship Id="rId25" Type="http://schemas.openxmlformats.org/officeDocument/2006/relationships/hyperlink" Target="https://nam12.safelinks.protection.outlook.com/?url=https%3A%2F%2Fsachspolicy.us7.list-manage.com%2Ftrack%2Fclick%3Fu%3D506b89891b53886a264851c97%26id%3De519d3b3a3%26e%3De3cd813f9e&amp;data=05%7C02%7CJPierce%40sachspolicy.com%7Ca10cb9fae3da4e457eb208dcbd637ec4%7Cf56b6b683bf9468b81ae9a435c7c362e%7C0%7C0%7C638593482276660749%7CUnknown%7CTWFpbGZsb3d8eyJWIjoiMC4wLjAwMDAiLCJQIjoiV2luMzIiLCJBTiI6Ik1haWwiLCJXVCI6Mn0%3D%7C0%7C%7C%7C&amp;sdata=%2BAXDSHhlk0g3nU71X%2F47XpcQRhOymQ571CqkSFomiEo%3D&amp;reserved=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health.ny.gov/health_care/medicaid/redesign/behavioral_health/children/provider_info.htm" TargetMode="External"/><Relationship Id="rId20" Type="http://schemas.openxmlformats.org/officeDocument/2006/relationships/hyperlink" Target="https://www.health.ny.gov/health_care/managed_care/mltc/coverservices.ht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ny.gov/technology/nys_pcmh/" TargetMode="External"/><Relationship Id="rId24" Type="http://schemas.openxmlformats.org/officeDocument/2006/relationships/hyperlink" Target="https://sachspolicy.com/2024/08/nyher-1115-wavier-social-care-networks-announced/"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mh.ny.gov/omhweb/bho/core/" TargetMode="External"/><Relationship Id="rId23" Type="http://schemas.openxmlformats.org/officeDocument/2006/relationships/hyperlink" Target="https://www.medicaid.gov/sites/default/files/2024-01/ny-medicaid-rdsgn-team-appvl-01092024.pdf" TargetMode="External"/><Relationship Id="rId28" Type="http://schemas.openxmlformats.org/officeDocument/2006/relationships/footer" Target="footer1.xml"/><Relationship Id="rId10" Type="http://schemas.openxmlformats.org/officeDocument/2006/relationships/hyperlink" Target="https://www.health.ny.gov/health_care/medicaid/program/medicaid_health_homes/docs/final_dd_eligibility_for_enrollment_in_hh.pdf" TargetMode="External"/><Relationship Id="rId19" Type="http://schemas.openxmlformats.org/officeDocument/2006/relationships/hyperlink" Target="https://www.health.ny.gov/health_care/medicaid/redesign/behavioral_health/children/vol_foster_trans.htm"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health.ny.gov/health_care/medicaid/program/medicaid_health_homes/hh_children/index.htm" TargetMode="External"/><Relationship Id="rId14" Type="http://schemas.openxmlformats.org/officeDocument/2006/relationships/hyperlink" Target="https://omh.ny.gov/omhweb/bho/hcbs.html" TargetMode="External"/><Relationship Id="rId22" Type="http://schemas.openxmlformats.org/officeDocument/2006/relationships/hyperlink" Target="https://www.health.ny.gov/health_care/managed_care/appextension/docs/2017-01-19_renewal_stc.pdf" TargetMode="External"/><Relationship Id="rId27" Type="http://schemas.openxmlformats.org/officeDocument/2006/relationships/header" Target="header1.xml"/><Relationship Id="rId30" Type="http://schemas.openxmlformats.org/officeDocument/2006/relationships/header" Target="header2.xml"/><Relationship Id="rId8" Type="http://schemas.openxmlformats.org/officeDocument/2006/relationships/hyperlink" Target="https://www.health.ny.gov/health_care/medicaid/program/medicaid_health_homes/"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65967-5AF3-C94C-9928-1AAEAD9BE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31</Pages>
  <Words>12094</Words>
  <Characters>68942</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Glossary of New York Medicaid Policy</vt:lpstr>
    </vt:vector>
  </TitlesOfParts>
  <Company>September 2025</Company>
  <LinksUpToDate>false</LinksUpToDate>
  <CharactersWithSpaces>80875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York State Medicaid Policy Primer</dc:title>
  <dc:subject/>
  <dc:creator>Sachs Policy Group</dc:creator>
  <cp:keywords/>
  <dc:description/>
  <cp:lastModifiedBy>Jaclyn Pierce</cp:lastModifiedBy>
  <cp:revision>29</cp:revision>
  <dcterms:created xsi:type="dcterms:W3CDTF">2025-09-03T15:46:00Z</dcterms:created>
  <dcterms:modified xsi:type="dcterms:W3CDTF">2025-09-03T17:16:00Z</dcterms:modified>
</cp:coreProperties>
</file>